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7E0AAE" w:rsidRPr="00A919B1" w14:paraId="50BFEE67" w14:textId="77777777" w:rsidTr="00EC662F">
        <w:tc>
          <w:tcPr>
            <w:tcW w:w="3227" w:type="dxa"/>
          </w:tcPr>
          <w:p w14:paraId="73B4B333" w14:textId="77777777" w:rsidR="007E0AAE" w:rsidRPr="00EB6A30" w:rsidRDefault="007E0AAE" w:rsidP="007E0AAE">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61467B15" w:rsidR="007E0AAE" w:rsidRPr="00336747" w:rsidRDefault="007E0AAE" w:rsidP="007E0AAE">
            <w:pPr>
              <w:spacing w:line="360" w:lineRule="auto"/>
              <w:jc w:val="both"/>
              <w:rPr>
                <w:rFonts w:ascii="Arial" w:hAnsi="Arial" w:cs="Arial"/>
                <w:sz w:val="20"/>
                <w:lang w:val="en-ZA"/>
              </w:rPr>
            </w:pPr>
            <w:r w:rsidRPr="009C0BCC">
              <w:rPr>
                <w:rFonts w:ascii="Arial" w:hAnsi="Arial" w:cs="Arial"/>
                <w:sz w:val="20"/>
              </w:rPr>
              <w:t>"The provision of continuous threat exposure management (CTEM) professional</w:t>
            </w:r>
            <w:r>
              <w:rPr>
                <w:rFonts w:ascii="Arial" w:hAnsi="Arial" w:cs="Arial"/>
                <w:sz w:val="20"/>
              </w:rPr>
              <w:t xml:space="preserve"> </w:t>
            </w:r>
            <w:r w:rsidRPr="009C0BCC">
              <w:rPr>
                <w:rFonts w:ascii="Arial" w:hAnsi="Arial" w:cs="Arial"/>
                <w:sz w:val="20"/>
              </w:rPr>
              <w:t>managed services for a period of five (5) years."</w:t>
            </w:r>
          </w:p>
        </w:tc>
      </w:tr>
      <w:tr w:rsidR="00605594" w:rsidRPr="00A919B1" w14:paraId="1CDC513A" w14:textId="77777777" w:rsidTr="00EC662F">
        <w:tc>
          <w:tcPr>
            <w:tcW w:w="3227" w:type="dxa"/>
          </w:tcPr>
          <w:p w14:paraId="6E29CAA5" w14:textId="77777777" w:rsidR="00605594" w:rsidRPr="00EB6A30" w:rsidRDefault="00605594" w:rsidP="00605594">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70D6479C" w:rsidR="00605594" w:rsidRPr="00F0521B" w:rsidRDefault="007E0AAE" w:rsidP="00605594">
            <w:pPr>
              <w:spacing w:before="60" w:after="60" w:line="276" w:lineRule="auto"/>
              <w:jc w:val="both"/>
              <w:rPr>
                <w:rFonts w:ascii="Arial" w:hAnsi="Arial" w:cs="Arial"/>
                <w:sz w:val="20"/>
              </w:rPr>
            </w:pPr>
            <w:r>
              <w:rPr>
                <w:rFonts w:ascii="Arial" w:hAnsi="Arial" w:cs="Arial"/>
                <w:sz w:val="20"/>
              </w:rPr>
              <w:t>5</w:t>
            </w:r>
            <w:r w:rsidR="00605594">
              <w:rPr>
                <w:rFonts w:ascii="Arial" w:hAnsi="Arial" w:cs="Arial"/>
                <w:sz w:val="20"/>
              </w:rPr>
              <w:t xml:space="preserve"> </w:t>
            </w:r>
            <w:r>
              <w:rPr>
                <w:rFonts w:ascii="Arial" w:hAnsi="Arial" w:cs="Arial"/>
                <w:sz w:val="20"/>
              </w:rPr>
              <w:t>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8056C6">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sworn affidavit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D42FAE">
      <w:pPr>
        <w:spacing w:before="60" w:after="60" w:line="360" w:lineRule="auto"/>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5FDE4D68" w:rsidR="006F7826" w:rsidRDefault="006F7826" w:rsidP="00D42FAE">
      <w:pPr>
        <w:autoSpaceDE w:val="0"/>
        <w:autoSpaceDN w:val="0"/>
        <w:adjustRightInd w:val="0"/>
        <w:spacing w:line="360" w:lineRule="auto"/>
        <w:rPr>
          <w:rFonts w:ascii="Arial" w:hAnsi="Arial" w:cs="Arial"/>
          <w:bCs/>
          <w:sz w:val="20"/>
          <w:lang w:val="en-ZA"/>
        </w:rPr>
      </w:pPr>
      <w:r w:rsidRPr="000C379B">
        <w:rPr>
          <w:rFonts w:ascii="Arial" w:hAnsi="Arial" w:cs="Arial"/>
          <w:bCs/>
          <w:sz w:val="20"/>
          <w:lang w:val="en-ZA"/>
        </w:rPr>
        <w:t>award.</w:t>
      </w:r>
    </w:p>
    <w:p w14:paraId="4083DECF" w14:textId="77777777" w:rsidR="00BF3EAF" w:rsidRDefault="00BF3EAF" w:rsidP="00BF3EAF">
      <w:pPr>
        <w:spacing w:after="200" w:line="360" w:lineRule="auto"/>
        <w:jc w:val="both"/>
        <w:rPr>
          <w:rFonts w:ascii="Arial" w:hAnsi="Arial" w:cs="Arial"/>
          <w:b/>
          <w:sz w:val="20"/>
          <w:u w:val="single"/>
        </w:rPr>
      </w:pPr>
      <w:r>
        <w:rPr>
          <w:rFonts w:ascii="Arial" w:hAnsi="Arial" w:cs="Arial"/>
          <w:b/>
          <w:sz w:val="20"/>
        </w:rPr>
        <w:lastRenderedPageBreak/>
        <w:t xml:space="preserve">2.4 </w:t>
      </w:r>
      <w:r w:rsidRPr="003953B4">
        <w:rPr>
          <w:rFonts w:ascii="Arial" w:hAnsi="Arial" w:cs="Arial"/>
          <w:b/>
          <w:sz w:val="20"/>
          <w:u w:val="single"/>
        </w:rPr>
        <w:t>Mandatory Subcontracting as condition of award</w:t>
      </w:r>
      <w:r>
        <w:rPr>
          <w:rFonts w:ascii="Arial" w:hAnsi="Arial" w:cs="Arial"/>
          <w:b/>
          <w:sz w:val="20"/>
          <w:u w:val="single"/>
        </w:rPr>
        <w:t xml:space="preserve">: </w:t>
      </w:r>
      <w:r w:rsidRPr="003D4AA1">
        <w:rPr>
          <w:rFonts w:ascii="Arial" w:hAnsi="Arial" w:cs="Arial"/>
          <w:b/>
          <w:bCs/>
          <w:color w:val="000000" w:themeColor="text1"/>
          <w:sz w:val="20"/>
          <w:lang w:val="en-GB"/>
        </w:rPr>
        <w:t xml:space="preserve"> APPLICABLE</w:t>
      </w:r>
    </w:p>
    <w:p w14:paraId="1E07911B" w14:textId="3768FD7C" w:rsidR="00BF3EAF" w:rsidRPr="00522B04" w:rsidRDefault="00394E95" w:rsidP="00BF3EAF">
      <w:pPr>
        <w:spacing w:before="60" w:after="60" w:line="360" w:lineRule="auto"/>
        <w:jc w:val="both"/>
        <w:rPr>
          <w:rFonts w:ascii="Arial" w:eastAsiaTheme="minorHAnsi" w:hAnsi="Arial" w:cs="Arial"/>
          <w:sz w:val="20"/>
          <w:lang w:val="en-ZA"/>
        </w:rPr>
      </w:pPr>
      <w:r>
        <w:rPr>
          <w:rFonts w:ascii="Arial" w:eastAsiaTheme="minorHAnsi" w:hAnsi="Arial" w:cs="Arial"/>
          <w:sz w:val="20"/>
          <w:lang w:val="en-ZA"/>
        </w:rPr>
        <w:t>S</w:t>
      </w:r>
      <w:r w:rsidR="00BF3EAF" w:rsidRPr="00522B04">
        <w:rPr>
          <w:rFonts w:ascii="Arial" w:eastAsiaTheme="minorHAnsi" w:hAnsi="Arial" w:cs="Arial"/>
          <w:sz w:val="20"/>
          <w:lang w:val="en-ZA"/>
        </w:rPr>
        <w:t xml:space="preserve">ubcontracting is </w:t>
      </w:r>
      <w:r w:rsidR="008C4A17">
        <w:rPr>
          <w:rFonts w:ascii="Arial" w:eastAsiaTheme="minorHAnsi" w:hAnsi="Arial" w:cs="Arial"/>
          <w:sz w:val="20"/>
          <w:lang w:val="en-ZA"/>
        </w:rPr>
        <w:t xml:space="preserve">not </w:t>
      </w:r>
      <w:r w:rsidR="00BF3EAF" w:rsidRPr="00522B04">
        <w:rPr>
          <w:rFonts w:ascii="Arial" w:eastAsiaTheme="minorHAnsi" w:hAnsi="Arial" w:cs="Arial"/>
          <w:sz w:val="20"/>
          <w:lang w:val="en-ZA"/>
        </w:rPr>
        <w:t xml:space="preserve">mandatory </w:t>
      </w:r>
      <w:r w:rsidR="00EA01A7">
        <w:rPr>
          <w:rFonts w:ascii="Arial" w:eastAsiaTheme="minorHAnsi" w:hAnsi="Arial" w:cs="Arial"/>
          <w:sz w:val="20"/>
          <w:lang w:val="en-ZA"/>
        </w:rPr>
        <w:t xml:space="preserve">at tender closing for </w:t>
      </w:r>
      <w:r w:rsidR="00BF3EAF" w:rsidRPr="00522B04">
        <w:rPr>
          <w:rFonts w:ascii="Arial" w:eastAsiaTheme="minorHAnsi" w:hAnsi="Arial" w:cs="Arial"/>
          <w:sz w:val="20"/>
          <w:lang w:val="en-ZA"/>
        </w:rPr>
        <w:t xml:space="preserve">contracts above R30 million </w:t>
      </w:r>
      <w:r w:rsidR="003E1135">
        <w:rPr>
          <w:rFonts w:ascii="Arial" w:eastAsiaTheme="minorHAnsi" w:hAnsi="Arial" w:cs="Arial"/>
          <w:sz w:val="20"/>
          <w:lang w:val="en-ZA"/>
        </w:rPr>
        <w:t xml:space="preserve">but </w:t>
      </w:r>
      <w:r w:rsidR="00BF3EAF" w:rsidRPr="00522B04">
        <w:rPr>
          <w:rFonts w:ascii="Arial" w:eastAsiaTheme="minorHAnsi" w:hAnsi="Arial" w:cs="Arial"/>
          <w:sz w:val="20"/>
          <w:lang w:val="en-ZA"/>
        </w:rPr>
        <w:t>is a condition for contract award</w:t>
      </w:r>
      <w:r>
        <w:rPr>
          <w:rFonts w:ascii="Arial" w:eastAsiaTheme="minorHAnsi" w:hAnsi="Arial" w:cs="Arial"/>
          <w:sz w:val="20"/>
          <w:lang w:val="en-ZA"/>
        </w:rPr>
        <w:t>, where feasible</w:t>
      </w:r>
      <w:r w:rsidR="00BF3EAF" w:rsidRPr="00522B04">
        <w:rPr>
          <w:rFonts w:ascii="Arial" w:eastAsiaTheme="minorHAnsi" w:hAnsi="Arial" w:cs="Arial"/>
          <w:sz w:val="20"/>
          <w:lang w:val="en-ZA"/>
        </w:rPr>
        <w:t>.</w:t>
      </w:r>
    </w:p>
    <w:p w14:paraId="23566D7C" w14:textId="77777777" w:rsidR="00BF3EAF" w:rsidRPr="00F45F33" w:rsidRDefault="00BF3EAF" w:rsidP="00BF3EAF">
      <w:pPr>
        <w:spacing w:line="360" w:lineRule="auto"/>
        <w:contextualSpacing/>
        <w:jc w:val="both"/>
        <w:rPr>
          <w:rFonts w:ascii="Arial" w:hAnsi="Arial" w:cs="Arial"/>
          <w:bCs/>
          <w:sz w:val="20"/>
          <w:lang w:val="en-ZA"/>
        </w:rPr>
      </w:pPr>
      <w:r w:rsidRPr="00F45F33">
        <w:rPr>
          <w:rFonts w:ascii="Arial" w:hAnsi="Arial" w:cs="Arial"/>
          <w:bCs/>
          <w:sz w:val="20"/>
          <w:lang w:val="en-ZA"/>
        </w:rPr>
        <w:t>Tenderers shall subcontract a minimum of 30% of the contract value to the following designated groups:</w:t>
      </w:r>
    </w:p>
    <w:p w14:paraId="45B2FC1F" w14:textId="1052CEA0" w:rsidR="00BF3EAF" w:rsidRPr="00F45F33" w:rsidRDefault="00BF3EAF" w:rsidP="00BF3EAF">
      <w:pPr>
        <w:numPr>
          <w:ilvl w:val="0"/>
          <w:numId w:val="42"/>
        </w:numPr>
        <w:spacing w:after="200" w:line="360" w:lineRule="auto"/>
        <w:contextualSpacing/>
        <w:jc w:val="both"/>
        <w:rPr>
          <w:rFonts w:ascii="Arial" w:eastAsiaTheme="minorHAnsi" w:hAnsi="Arial" w:cs="Arial"/>
          <w:b/>
          <w:sz w:val="20"/>
          <w:lang w:val="en-ZA"/>
        </w:rPr>
      </w:pPr>
      <w:r w:rsidRPr="00F45F33">
        <w:rPr>
          <w:rFonts w:ascii="Arial" w:eastAsiaTheme="minorHAnsi" w:hAnsi="Arial" w:cs="Arial"/>
          <w:sz w:val="20"/>
          <w:lang w:val="en-ZA"/>
        </w:rPr>
        <w:t xml:space="preserve">an EME or QSE which is </w:t>
      </w:r>
      <w:r w:rsidR="003E1135">
        <w:rPr>
          <w:rFonts w:ascii="Arial" w:eastAsiaTheme="minorHAnsi" w:hAnsi="Arial" w:cs="Arial"/>
          <w:sz w:val="20"/>
          <w:lang w:val="en-ZA"/>
        </w:rPr>
        <w:t xml:space="preserve">at least </w:t>
      </w:r>
      <w:r w:rsidRPr="00F45F33">
        <w:rPr>
          <w:rFonts w:ascii="Arial" w:eastAsiaTheme="minorHAnsi" w:hAnsi="Arial" w:cs="Arial"/>
          <w:sz w:val="20"/>
          <w:lang w:val="en-ZA"/>
        </w:rPr>
        <w:t xml:space="preserve">51% </w:t>
      </w:r>
      <w:r w:rsidR="003E1135">
        <w:rPr>
          <w:rFonts w:ascii="Arial" w:eastAsiaTheme="minorHAnsi" w:hAnsi="Arial" w:cs="Arial"/>
          <w:sz w:val="20"/>
          <w:lang w:val="en-ZA"/>
        </w:rPr>
        <w:t xml:space="preserve">black </w:t>
      </w:r>
      <w:r w:rsidRPr="00F45F33">
        <w:rPr>
          <w:rFonts w:ascii="Arial" w:eastAsiaTheme="minorHAnsi" w:hAnsi="Arial" w:cs="Arial"/>
          <w:sz w:val="20"/>
          <w:lang w:val="en-ZA"/>
        </w:rPr>
        <w:t>owned</w:t>
      </w:r>
      <w:r w:rsidR="00EA01A7">
        <w:rPr>
          <w:rFonts w:ascii="Arial" w:eastAsiaTheme="minorHAnsi" w:hAnsi="Arial" w:cs="Arial"/>
          <w:sz w:val="20"/>
          <w:lang w:val="en-ZA"/>
        </w:rPr>
        <w:t xml:space="preserve">. Preference will be given </w:t>
      </w:r>
      <w:r w:rsidR="008C4A17">
        <w:rPr>
          <w:rFonts w:ascii="Arial" w:eastAsiaTheme="minorHAnsi" w:hAnsi="Arial" w:cs="Arial"/>
          <w:sz w:val="20"/>
          <w:lang w:val="en-ZA"/>
        </w:rPr>
        <w:t xml:space="preserve">to </w:t>
      </w:r>
      <w:r w:rsidR="008C4A17" w:rsidRPr="00F45F33">
        <w:rPr>
          <w:rFonts w:ascii="Arial" w:eastAsiaTheme="minorHAnsi" w:hAnsi="Arial" w:cs="Arial"/>
          <w:sz w:val="20"/>
          <w:lang w:val="en-ZA"/>
        </w:rPr>
        <w:t>black</w:t>
      </w:r>
      <w:r w:rsidRPr="00F45F33">
        <w:rPr>
          <w:rFonts w:ascii="Arial" w:eastAsiaTheme="minorHAnsi" w:hAnsi="Arial" w:cs="Arial"/>
          <w:sz w:val="20"/>
          <w:lang w:val="en-ZA"/>
        </w:rPr>
        <w:t xml:space="preserve"> people living in rural or underdeveloped area or townships.</w:t>
      </w:r>
    </w:p>
    <w:p w14:paraId="7E7F1570" w14:textId="77777777" w:rsidR="00BF3EAF" w:rsidRPr="00F45F33" w:rsidRDefault="00BF3EAF" w:rsidP="00BF3EAF">
      <w:pPr>
        <w:tabs>
          <w:tab w:val="num" w:pos="851"/>
        </w:tabs>
        <w:spacing w:line="360" w:lineRule="auto"/>
        <w:jc w:val="both"/>
        <w:rPr>
          <w:rFonts w:ascii="Arial" w:hAnsi="Arial" w:cs="Arial"/>
          <w:sz w:val="20"/>
          <w:lang w:eastAsia="en-ZA"/>
        </w:rPr>
      </w:pPr>
    </w:p>
    <w:p w14:paraId="6C666445" w14:textId="77777777" w:rsidR="00BF3EAF" w:rsidRPr="00F45F33" w:rsidRDefault="00BF3EAF" w:rsidP="00BF3EAF">
      <w:pPr>
        <w:tabs>
          <w:tab w:val="num" w:pos="1276"/>
        </w:tabs>
        <w:spacing w:line="360" w:lineRule="auto"/>
        <w:jc w:val="both"/>
        <w:rPr>
          <w:rFonts w:ascii="Arial" w:hAnsi="Arial" w:cs="Arial"/>
          <w:sz w:val="20"/>
          <w:lang w:eastAsia="en-ZA"/>
        </w:rPr>
      </w:pPr>
      <w:r w:rsidRPr="00F45F33">
        <w:rPr>
          <w:rFonts w:ascii="Arial" w:hAnsi="Arial" w:cs="Arial"/>
          <w:b/>
          <w:sz w:val="20"/>
          <w:lang w:eastAsia="en-ZA"/>
        </w:rPr>
        <w:t xml:space="preserve">NOTE </w:t>
      </w:r>
      <w:r>
        <w:rPr>
          <w:rFonts w:ascii="Arial" w:hAnsi="Arial" w:cs="Arial"/>
          <w:b/>
          <w:sz w:val="20"/>
          <w:lang w:eastAsia="en-ZA"/>
        </w:rPr>
        <w:t>1</w:t>
      </w:r>
      <w:r w:rsidRPr="00F45F33">
        <w:rPr>
          <w:rFonts w:ascii="Arial" w:hAnsi="Arial" w:cs="Arial"/>
          <w:b/>
          <w:sz w:val="20"/>
          <w:lang w:eastAsia="en-ZA"/>
        </w:rPr>
        <w:t>:</w:t>
      </w:r>
      <w:r w:rsidRPr="00F45F33">
        <w:rPr>
          <w:rFonts w:ascii="Arial" w:hAnsi="Arial" w:cs="Arial"/>
          <w:sz w:val="20"/>
          <w:lang w:eastAsia="en-ZA"/>
        </w:rPr>
        <w:t xml:space="preserve"> Tenderers shall submit the following mandatory returnable for Subcontracting: </w:t>
      </w:r>
    </w:p>
    <w:p w14:paraId="2F218B33" w14:textId="77777777" w:rsidR="00BF3EAF" w:rsidRPr="00F45F33" w:rsidRDefault="00BF3EAF" w:rsidP="00BF3EAF">
      <w:pPr>
        <w:numPr>
          <w:ilvl w:val="0"/>
          <w:numId w:val="41"/>
        </w:numPr>
        <w:spacing w:after="200" w:line="360" w:lineRule="auto"/>
        <w:contextualSpacing/>
        <w:jc w:val="both"/>
        <w:rPr>
          <w:rFonts w:ascii="Arial" w:eastAsia="Calibri" w:hAnsi="Arial" w:cs="Arial"/>
          <w:bCs/>
          <w:iCs/>
          <w:sz w:val="20"/>
          <w:lang w:val="en-ZA"/>
        </w:rPr>
      </w:pPr>
      <w:r w:rsidRPr="00F45F33">
        <w:rPr>
          <w:rFonts w:ascii="Arial" w:eastAsia="Calibri" w:hAnsi="Arial" w:cs="Arial"/>
          <w:bCs/>
          <w:iCs/>
          <w:sz w:val="20"/>
          <w:lang w:val="en-ZA"/>
        </w:rPr>
        <w:t>Subcontracting agreement signed by both with subcontractors’ company registration documents (CK and B-BBEE certificate or sworn affidavit) or</w:t>
      </w:r>
    </w:p>
    <w:p w14:paraId="34E5FF2A" w14:textId="77777777" w:rsidR="00BF3EAF" w:rsidRDefault="00BF3EAF" w:rsidP="00BF3EAF">
      <w:pPr>
        <w:numPr>
          <w:ilvl w:val="0"/>
          <w:numId w:val="41"/>
        </w:numPr>
        <w:spacing w:after="200" w:line="360" w:lineRule="auto"/>
        <w:contextualSpacing/>
        <w:jc w:val="both"/>
        <w:rPr>
          <w:rFonts w:ascii="Arial" w:eastAsia="Calibri" w:hAnsi="Arial" w:cs="Arial"/>
          <w:bCs/>
          <w:iCs/>
          <w:sz w:val="20"/>
          <w:lang w:val="en-ZA"/>
        </w:rPr>
      </w:pPr>
      <w:r w:rsidRPr="00F45F33">
        <w:rPr>
          <w:rFonts w:ascii="Arial" w:eastAsia="Calibri" w:hAnsi="Arial" w:cs="Arial"/>
          <w:bCs/>
          <w:iCs/>
          <w:sz w:val="20"/>
          <w:lang w:val="en-ZA"/>
        </w:rPr>
        <w:t>Copies of sub-contracting contracts (agreements) or copies of letters from the tenderer to the sub-contractors, stating the intent to sub-contract. The Tenderer should sign both documents and the Sub-contractor(s) earmarked.</w:t>
      </w:r>
    </w:p>
    <w:p w14:paraId="767ACDB7" w14:textId="77777777" w:rsidR="00BF3EAF" w:rsidRDefault="00BF3EAF" w:rsidP="00BF3EAF">
      <w:pPr>
        <w:tabs>
          <w:tab w:val="num" w:pos="1276"/>
        </w:tabs>
        <w:spacing w:line="360" w:lineRule="auto"/>
        <w:jc w:val="both"/>
        <w:rPr>
          <w:rFonts w:ascii="Arial" w:hAnsi="Arial" w:cs="Arial"/>
          <w:sz w:val="20"/>
          <w:lang w:eastAsia="en-ZA"/>
        </w:rPr>
      </w:pPr>
      <w:r w:rsidRPr="00F45F33">
        <w:rPr>
          <w:rFonts w:ascii="Arial" w:hAnsi="Arial" w:cs="Arial"/>
          <w:sz w:val="20"/>
          <w:lang w:eastAsia="en-ZA"/>
        </w:rPr>
        <w:t>Potential scope to be subcontracted and/or outsourced:</w:t>
      </w:r>
    </w:p>
    <w:tbl>
      <w:tblPr>
        <w:tblStyle w:val="TableGrid"/>
        <w:tblW w:w="0" w:type="auto"/>
        <w:tblLook w:val="04A0" w:firstRow="1" w:lastRow="0" w:firstColumn="1" w:lastColumn="0" w:noHBand="0" w:noVBand="1"/>
      </w:tblPr>
      <w:tblGrid>
        <w:gridCol w:w="4508"/>
        <w:gridCol w:w="4508"/>
      </w:tblGrid>
      <w:tr w:rsidR="00BF3EAF" w:rsidRPr="00543713" w14:paraId="22E00B2B" w14:textId="77777777" w:rsidTr="00D54B86">
        <w:tc>
          <w:tcPr>
            <w:tcW w:w="4508" w:type="dxa"/>
          </w:tcPr>
          <w:p w14:paraId="6032CF0E" w14:textId="77777777" w:rsidR="00BF3EAF" w:rsidRPr="00543713" w:rsidRDefault="00BF3EAF" w:rsidP="00D54B86">
            <w:pPr>
              <w:tabs>
                <w:tab w:val="num" w:pos="1276"/>
              </w:tabs>
              <w:spacing w:line="360" w:lineRule="auto"/>
              <w:jc w:val="center"/>
              <w:rPr>
                <w:rFonts w:ascii="Arial" w:eastAsia="Calibri" w:hAnsi="Arial" w:cs="Arial"/>
                <w:bCs/>
                <w:iCs/>
                <w:sz w:val="20"/>
                <w:lang w:val="en-ZA"/>
              </w:rPr>
            </w:pPr>
            <w:r w:rsidRPr="00543713">
              <w:rPr>
                <w:rFonts w:ascii="Arial" w:eastAsia="Calibri" w:hAnsi="Arial" w:cs="Arial"/>
                <w:bCs/>
                <w:iCs/>
                <w:sz w:val="20"/>
                <w:lang w:val="en-ZA"/>
              </w:rPr>
              <w:t xml:space="preserve">Activities for </w:t>
            </w:r>
            <w:r>
              <w:rPr>
                <w:rFonts w:ascii="Arial" w:eastAsia="Calibri" w:hAnsi="Arial" w:cs="Arial"/>
                <w:bCs/>
                <w:iCs/>
                <w:sz w:val="20"/>
                <w:lang w:val="en-ZA"/>
              </w:rPr>
              <w:t>subcontracting</w:t>
            </w:r>
            <w:r w:rsidRPr="00543713">
              <w:rPr>
                <w:rFonts w:ascii="Arial" w:eastAsia="Calibri" w:hAnsi="Arial" w:cs="Arial"/>
                <w:bCs/>
                <w:iCs/>
                <w:sz w:val="20"/>
                <w:lang w:val="en-ZA"/>
              </w:rPr>
              <w:t xml:space="preserve"> in the local scope of work</w:t>
            </w:r>
          </w:p>
        </w:tc>
        <w:tc>
          <w:tcPr>
            <w:tcW w:w="4508" w:type="dxa"/>
          </w:tcPr>
          <w:p w14:paraId="183E2361" w14:textId="77777777" w:rsidR="00BF3EAF" w:rsidRPr="00543713" w:rsidRDefault="00BF3EAF" w:rsidP="00D54B86">
            <w:pPr>
              <w:tabs>
                <w:tab w:val="num" w:pos="1276"/>
              </w:tabs>
              <w:spacing w:line="360" w:lineRule="auto"/>
              <w:jc w:val="center"/>
              <w:rPr>
                <w:rFonts w:ascii="Arial" w:eastAsia="Calibri" w:hAnsi="Arial" w:cs="Arial"/>
                <w:bCs/>
                <w:iCs/>
                <w:sz w:val="20"/>
                <w:lang w:val="en-ZA"/>
              </w:rPr>
            </w:pPr>
            <w:r w:rsidRPr="00543713">
              <w:rPr>
                <w:rFonts w:ascii="Arial" w:eastAsia="Calibri" w:hAnsi="Arial" w:cs="Arial"/>
                <w:bCs/>
                <w:iCs/>
                <w:sz w:val="20"/>
                <w:lang w:val="en-ZA"/>
              </w:rPr>
              <w:t>Percentage of local scope of work</w:t>
            </w:r>
          </w:p>
        </w:tc>
      </w:tr>
      <w:tr w:rsidR="00BF3EAF" w:rsidRPr="00543713" w14:paraId="771705A3" w14:textId="77777777" w:rsidTr="00D54B86">
        <w:tc>
          <w:tcPr>
            <w:tcW w:w="4508" w:type="dxa"/>
          </w:tcPr>
          <w:p w14:paraId="08193CAD" w14:textId="77777777" w:rsidR="00BF3EAF" w:rsidRPr="00543713" w:rsidRDefault="00BF3EAF" w:rsidP="00BF3EAF">
            <w:pPr>
              <w:numPr>
                <w:ilvl w:val="0"/>
                <w:numId w:val="46"/>
              </w:numPr>
              <w:tabs>
                <w:tab w:val="num" w:pos="1276"/>
              </w:tabs>
              <w:spacing w:line="360" w:lineRule="auto"/>
              <w:jc w:val="both"/>
              <w:rPr>
                <w:rFonts w:ascii="Arial" w:eastAsia="Calibri" w:hAnsi="Arial" w:cs="Arial"/>
                <w:bCs/>
                <w:iCs/>
                <w:sz w:val="20"/>
                <w:lang w:val="en-ZA"/>
              </w:rPr>
            </w:pPr>
          </w:p>
        </w:tc>
        <w:tc>
          <w:tcPr>
            <w:tcW w:w="4508" w:type="dxa"/>
          </w:tcPr>
          <w:p w14:paraId="4B397A56" w14:textId="77777777" w:rsidR="00BF3EAF" w:rsidRPr="00543713" w:rsidRDefault="00BF3EAF" w:rsidP="00D54B86">
            <w:pPr>
              <w:tabs>
                <w:tab w:val="num" w:pos="1276"/>
              </w:tabs>
              <w:spacing w:line="360" w:lineRule="auto"/>
              <w:jc w:val="center"/>
              <w:rPr>
                <w:rFonts w:ascii="Arial" w:eastAsia="Calibri" w:hAnsi="Arial" w:cs="Arial"/>
                <w:bCs/>
                <w:iCs/>
                <w:sz w:val="20"/>
                <w:lang w:val="en-ZA"/>
              </w:rPr>
            </w:pPr>
          </w:p>
        </w:tc>
      </w:tr>
      <w:tr w:rsidR="00BF3EAF" w:rsidRPr="00543713" w14:paraId="78287575" w14:textId="77777777" w:rsidTr="00D54B86">
        <w:tc>
          <w:tcPr>
            <w:tcW w:w="4508" w:type="dxa"/>
          </w:tcPr>
          <w:p w14:paraId="49403A98" w14:textId="77777777" w:rsidR="00BF3EAF" w:rsidRPr="00543713" w:rsidRDefault="00BF3EAF" w:rsidP="00BF3EAF">
            <w:pPr>
              <w:numPr>
                <w:ilvl w:val="0"/>
                <w:numId w:val="46"/>
              </w:numPr>
              <w:tabs>
                <w:tab w:val="num" w:pos="1276"/>
              </w:tabs>
              <w:spacing w:line="360" w:lineRule="auto"/>
              <w:jc w:val="both"/>
              <w:rPr>
                <w:rFonts w:ascii="Arial" w:eastAsia="Calibri" w:hAnsi="Arial" w:cs="Arial"/>
                <w:bCs/>
                <w:iCs/>
                <w:sz w:val="20"/>
                <w:lang w:val="en-ZA"/>
              </w:rPr>
            </w:pPr>
          </w:p>
        </w:tc>
        <w:tc>
          <w:tcPr>
            <w:tcW w:w="4508" w:type="dxa"/>
          </w:tcPr>
          <w:p w14:paraId="4014C724" w14:textId="77777777" w:rsidR="00BF3EAF" w:rsidRPr="00543713" w:rsidRDefault="00BF3EAF" w:rsidP="00D54B86">
            <w:pPr>
              <w:tabs>
                <w:tab w:val="num" w:pos="1276"/>
              </w:tabs>
              <w:spacing w:line="360" w:lineRule="auto"/>
              <w:jc w:val="center"/>
              <w:rPr>
                <w:rFonts w:ascii="Arial" w:eastAsia="Calibri" w:hAnsi="Arial" w:cs="Arial"/>
                <w:bCs/>
                <w:iCs/>
                <w:sz w:val="20"/>
                <w:lang w:val="en-ZA"/>
              </w:rPr>
            </w:pPr>
          </w:p>
        </w:tc>
      </w:tr>
      <w:tr w:rsidR="00BF3EAF" w:rsidRPr="00543713" w14:paraId="0709DDB6" w14:textId="77777777" w:rsidTr="00D54B86">
        <w:tc>
          <w:tcPr>
            <w:tcW w:w="4508" w:type="dxa"/>
          </w:tcPr>
          <w:p w14:paraId="432F1159" w14:textId="77777777" w:rsidR="00BF3EAF" w:rsidRPr="00543713" w:rsidRDefault="00BF3EAF" w:rsidP="00BF3EAF">
            <w:pPr>
              <w:numPr>
                <w:ilvl w:val="0"/>
                <w:numId w:val="46"/>
              </w:numPr>
              <w:tabs>
                <w:tab w:val="num" w:pos="1276"/>
              </w:tabs>
              <w:spacing w:line="360" w:lineRule="auto"/>
              <w:jc w:val="both"/>
              <w:rPr>
                <w:rFonts w:ascii="Arial" w:eastAsia="Calibri" w:hAnsi="Arial" w:cs="Arial"/>
                <w:bCs/>
                <w:iCs/>
                <w:sz w:val="20"/>
                <w:lang w:val="en-ZA"/>
              </w:rPr>
            </w:pPr>
          </w:p>
        </w:tc>
        <w:tc>
          <w:tcPr>
            <w:tcW w:w="4508" w:type="dxa"/>
          </w:tcPr>
          <w:p w14:paraId="7FB9694E" w14:textId="77777777" w:rsidR="00BF3EAF" w:rsidRPr="00543713" w:rsidRDefault="00BF3EAF" w:rsidP="00D54B86">
            <w:pPr>
              <w:tabs>
                <w:tab w:val="num" w:pos="1276"/>
              </w:tabs>
              <w:spacing w:line="360" w:lineRule="auto"/>
              <w:jc w:val="center"/>
              <w:rPr>
                <w:rFonts w:ascii="Arial" w:eastAsia="Calibri" w:hAnsi="Arial" w:cs="Arial"/>
                <w:bCs/>
                <w:iCs/>
                <w:sz w:val="20"/>
                <w:lang w:val="en-ZA"/>
              </w:rPr>
            </w:pPr>
          </w:p>
        </w:tc>
      </w:tr>
    </w:tbl>
    <w:p w14:paraId="208B32B6" w14:textId="77777777" w:rsidR="00BF3EAF" w:rsidRDefault="00BF3EAF" w:rsidP="00BF3EAF">
      <w:pPr>
        <w:spacing w:after="200" w:line="360" w:lineRule="auto"/>
        <w:jc w:val="both"/>
        <w:rPr>
          <w:rFonts w:ascii="Arial" w:eastAsiaTheme="minorHAnsi" w:hAnsi="Arial" w:cs="Arial"/>
          <w:sz w:val="20"/>
          <w:lang w:val="en-ZA"/>
        </w:rPr>
      </w:pPr>
    </w:p>
    <w:p w14:paraId="17252E4F" w14:textId="77777777" w:rsidR="00BF3EAF" w:rsidRPr="005B5A73" w:rsidRDefault="00BF3EAF" w:rsidP="00BF3EAF">
      <w:pPr>
        <w:spacing w:after="200" w:line="360" w:lineRule="auto"/>
        <w:jc w:val="both"/>
        <w:rPr>
          <w:rFonts w:ascii="Arial" w:hAnsi="Arial" w:cs="Arial"/>
          <w:b/>
          <w:sz w:val="20"/>
        </w:rPr>
      </w:pPr>
      <w:r w:rsidRPr="005B5A73">
        <w:rPr>
          <w:rFonts w:ascii="Arial" w:eastAsiaTheme="minorHAnsi" w:hAnsi="Arial" w:cs="Arial"/>
          <w:sz w:val="20"/>
          <w:lang w:val="en-ZA"/>
        </w:rPr>
        <w:t>Subcontracting, in this instance, will be treated as a condition for contract award. A supplier awarded a contract may not subcontract more than 25% of the value of the contract to any other entity that does not have an equal or higher B-BBEE status level of a contributor than the supplier concerned unless the contract is subcontracted to an EME that has the capability and ability to execute the subcontract</w:t>
      </w:r>
    </w:p>
    <w:p w14:paraId="34CA644B" w14:textId="3670D017" w:rsidR="007E7D29" w:rsidRDefault="007E7D29"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SDL&amp;I Objectives in line with Reconstruction and Development Programme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s do not form part of scoring but commitments will form part of contractual obligations</w:t>
            </w:r>
          </w:p>
        </w:tc>
      </w:tr>
      <w:tr w:rsidR="007E0AAE" w:rsidRPr="000C5130" w14:paraId="61CC959F" w14:textId="77777777" w:rsidTr="00065BFD">
        <w:trPr>
          <w:trHeight w:val="2424"/>
        </w:trPr>
        <w:tc>
          <w:tcPr>
            <w:tcW w:w="9016" w:type="dxa"/>
            <w:shd w:val="clear" w:color="auto" w:fill="FFFFFF" w:themeFill="background1"/>
          </w:tcPr>
          <w:p w14:paraId="4A377880" w14:textId="77777777" w:rsidR="007E0AAE" w:rsidRPr="006105B5" w:rsidRDefault="007E0AAE" w:rsidP="007E0AAE">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4D16AA01" w14:textId="77777777" w:rsidR="007E0AAE" w:rsidRPr="00DD747B" w:rsidRDefault="007E0AAE" w:rsidP="007E0AAE">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7984CA97" w14:textId="77777777" w:rsidR="007E0AAE" w:rsidRPr="00DD747B" w:rsidRDefault="007E0AAE" w:rsidP="007E0AAE">
            <w:pPr>
              <w:pStyle w:val="ListParagraph"/>
              <w:spacing w:after="200" w:line="360" w:lineRule="auto"/>
              <w:ind w:left="0"/>
              <w:jc w:val="both"/>
              <w:rPr>
                <w:rFonts w:ascii="Arial" w:hAnsi="Arial" w:cs="Arial"/>
                <w:sz w:val="16"/>
                <w:szCs w:val="16"/>
              </w:rPr>
            </w:pPr>
          </w:p>
          <w:p w14:paraId="765D0813" w14:textId="77777777" w:rsidR="007E0AAE" w:rsidRDefault="007E0AAE" w:rsidP="007E0AAE">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6A0BBF9B" w14:textId="77777777" w:rsidR="007E0AAE" w:rsidRDefault="007E0AAE" w:rsidP="007E0AAE">
            <w:pPr>
              <w:pStyle w:val="ListParagraph"/>
              <w:spacing w:after="200" w:line="360" w:lineRule="auto"/>
              <w:ind w:left="0"/>
              <w:jc w:val="both"/>
              <w:rPr>
                <w:rFonts w:ascii="Arial" w:hAnsi="Arial" w:cs="Arial"/>
                <w:sz w:val="20"/>
              </w:rPr>
            </w:pPr>
          </w:p>
          <w:p w14:paraId="5FC27D24" w14:textId="77777777" w:rsidR="007E0AAE" w:rsidRPr="00DD747B" w:rsidRDefault="007E0AAE" w:rsidP="007E0AAE">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4347B421" w14:textId="77777777" w:rsidR="007E0AAE" w:rsidRPr="00DD747B" w:rsidRDefault="007E0AAE" w:rsidP="007E0AAE">
            <w:pPr>
              <w:pStyle w:val="ListParagraph"/>
              <w:spacing w:after="200" w:line="360" w:lineRule="auto"/>
              <w:ind w:left="0"/>
              <w:jc w:val="both"/>
              <w:rPr>
                <w:rFonts w:ascii="Arial" w:hAnsi="Arial" w:cs="Arial"/>
                <w:sz w:val="16"/>
                <w:szCs w:val="16"/>
              </w:rPr>
            </w:pPr>
          </w:p>
          <w:p w14:paraId="30D63EF7" w14:textId="77777777" w:rsidR="007E0AAE" w:rsidRPr="00DD747B" w:rsidRDefault="007E0AAE" w:rsidP="007E0AAE">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263A4F91" w14:textId="77777777" w:rsidR="007E0AAE" w:rsidRDefault="007E0AAE" w:rsidP="007E0AAE">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260B2C3E" w14:textId="77777777" w:rsidR="007E0AAE" w:rsidRPr="00B22D89" w:rsidRDefault="007E0AAE" w:rsidP="007E0AA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15AD13B4" w14:textId="77777777" w:rsidR="007E0AAE" w:rsidRPr="00B22D89" w:rsidRDefault="007E0AAE" w:rsidP="007E0AA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Certified ID copies of shareholder(s)</w:t>
            </w:r>
          </w:p>
          <w:p w14:paraId="2BD99751" w14:textId="77777777" w:rsidR="007E0AAE" w:rsidRDefault="007E0AAE" w:rsidP="007E0AAE">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558EB75F" w14:textId="77777777" w:rsidR="007E0AAE" w:rsidRDefault="007E0AAE" w:rsidP="007E0AAE">
            <w:pPr>
              <w:tabs>
                <w:tab w:val="left" w:pos="720"/>
              </w:tabs>
              <w:spacing w:line="360" w:lineRule="auto"/>
              <w:ind w:left="720"/>
              <w:jc w:val="both"/>
              <w:rPr>
                <w:rFonts w:ascii="Arial" w:hAnsi="Arial" w:cs="Arial"/>
                <w:sz w:val="20"/>
              </w:rPr>
            </w:pPr>
          </w:p>
          <w:p w14:paraId="5F1D9326" w14:textId="77777777" w:rsidR="007E0AAE" w:rsidRPr="00DD747B" w:rsidRDefault="007E0AAE" w:rsidP="007E0AAE">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Enterprise therefore you can submit Sworn Affidavit. If your annual Total Revenue is R50 Million or less, you qualify as Qualifying Small Enterprise and must comply with all the elements of QSE score card relevant to your sector unless an entity is at least 51% Black owned you are required to obtain a Sworn affidavit. If your Annual Total Revenue is above R50m you need to submit a Valid B-BBEE certificate</w:t>
            </w:r>
          </w:p>
          <w:p w14:paraId="0CA2F844" w14:textId="77777777" w:rsidR="007E0AAE" w:rsidRPr="00CF781D" w:rsidRDefault="007E0AAE" w:rsidP="007E0AAE">
            <w:pPr>
              <w:tabs>
                <w:tab w:val="left" w:pos="720"/>
              </w:tabs>
              <w:spacing w:line="276" w:lineRule="auto"/>
              <w:ind w:left="360"/>
              <w:jc w:val="both"/>
              <w:rPr>
                <w:rFonts w:ascii="Arial" w:hAnsi="Arial" w:cs="Arial"/>
                <w:b/>
                <w:sz w:val="20"/>
              </w:rPr>
            </w:pPr>
          </w:p>
          <w:p w14:paraId="631B0BE9" w14:textId="77777777" w:rsidR="007E0AAE" w:rsidRPr="00D86CD2" w:rsidRDefault="007E0AAE" w:rsidP="007E0AAE">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1FA4E73A" w14:textId="77777777" w:rsidR="007E0AAE" w:rsidRDefault="007E0AAE" w:rsidP="007E0AAE">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14476009" w14:textId="77777777" w:rsidR="007E0AAE" w:rsidRDefault="007E0AAE" w:rsidP="007E0AAE">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E0AAE" w14:paraId="6946A92C" w14:textId="77777777" w:rsidTr="002747B1">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113BE315" w14:textId="77777777" w:rsidR="007E0AAE" w:rsidRDefault="007E0AAE" w:rsidP="007E0AAE">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41835DBE" w14:textId="77777777" w:rsidR="007E0AAE" w:rsidRDefault="007E0AAE" w:rsidP="007E0AAE">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7B015F1" w14:textId="77777777" w:rsidR="007E0AAE" w:rsidRDefault="007E0AAE" w:rsidP="007E0AAE">
                  <w:pPr>
                    <w:spacing w:line="276" w:lineRule="auto"/>
                    <w:jc w:val="center"/>
                    <w:rPr>
                      <w:rFonts w:ascii="Arial" w:hAnsi="Arial" w:cs="Arial"/>
                      <w:b/>
                      <w:sz w:val="20"/>
                    </w:rPr>
                  </w:pPr>
                  <w:r>
                    <w:rPr>
                      <w:rFonts w:ascii="Arial" w:hAnsi="Arial" w:cs="Arial"/>
                      <w:b/>
                      <w:sz w:val="20"/>
                    </w:rPr>
                    <w:t>Tenderer Proposal</w:t>
                  </w:r>
                </w:p>
              </w:tc>
            </w:tr>
            <w:tr w:rsidR="007E0AAE" w14:paraId="658366FE" w14:textId="77777777" w:rsidTr="002747B1">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56D4E908" w14:textId="77777777" w:rsidR="007E0AAE" w:rsidRDefault="007E0AAE" w:rsidP="007E0AAE">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40FCAEE6" w14:textId="77777777" w:rsidR="007E0AAE" w:rsidRPr="007D4E0A" w:rsidRDefault="007E0AAE" w:rsidP="007E0AAE">
                  <w:pPr>
                    <w:spacing w:line="276" w:lineRule="auto"/>
                    <w:jc w:val="center"/>
                    <w:rPr>
                      <w:rFonts w:ascii="Arial" w:hAnsi="Arial" w:cs="Arial"/>
                      <w:sz w:val="20"/>
                    </w:rPr>
                  </w:pPr>
                  <w:r>
                    <w:rPr>
                      <w:rFonts w:ascii="Arial" w:hAnsi="Arial" w:cs="Arial"/>
                      <w:sz w:val="20"/>
                    </w:rPr>
                    <w:t>50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38CE82F9" w14:textId="77777777" w:rsidR="007E0AAE" w:rsidRPr="007D4E0A" w:rsidRDefault="007E0AAE" w:rsidP="007E0AAE">
                  <w:pPr>
                    <w:spacing w:line="276" w:lineRule="auto"/>
                    <w:jc w:val="both"/>
                    <w:rPr>
                      <w:rFonts w:ascii="Arial" w:hAnsi="Arial" w:cs="Arial"/>
                      <w:sz w:val="20"/>
                    </w:rPr>
                  </w:pPr>
                </w:p>
              </w:tc>
            </w:tr>
          </w:tbl>
          <w:p w14:paraId="7D13049F" w14:textId="77777777" w:rsidR="007E0AAE" w:rsidRDefault="007E0AAE" w:rsidP="007E0AAE">
            <w:pPr>
              <w:pStyle w:val="ListParagraph"/>
              <w:ind w:left="360"/>
              <w:rPr>
                <w:rFonts w:ascii="Arial" w:hAnsi="Arial" w:cs="Arial"/>
                <w:bCs/>
                <w:sz w:val="20"/>
              </w:rPr>
            </w:pPr>
          </w:p>
          <w:p w14:paraId="5DA54C9C" w14:textId="77777777" w:rsidR="007E0AAE" w:rsidRPr="00974296" w:rsidRDefault="007E0AAE" w:rsidP="007E0AAE">
            <w:pPr>
              <w:pStyle w:val="ListParagraph"/>
              <w:spacing w:line="360" w:lineRule="auto"/>
              <w:ind w:left="360"/>
              <w:rPr>
                <w:rFonts w:ascii="Arial" w:hAnsi="Arial" w:cs="Arial"/>
                <w:sz w:val="20"/>
                <w:lang w:val="en-ZA"/>
              </w:rPr>
            </w:pPr>
            <w:r w:rsidRPr="00974296">
              <w:rPr>
                <w:rFonts w:ascii="Arial" w:hAnsi="Arial" w:cs="Arial"/>
                <w:sz w:val="20"/>
                <w:lang w:val="en-ZA"/>
              </w:rPr>
              <w:t>The proposal above should consider the source of origin (e.g. Country of software copyright registration; country of hardware manufacturing plant; citizenship of resources deployed) of the scope of work as detailed below:</w:t>
            </w:r>
          </w:p>
          <w:p w14:paraId="2978D876" w14:textId="77777777" w:rsidR="007E0AAE" w:rsidRDefault="007E0AAE" w:rsidP="007E0AAE">
            <w:pPr>
              <w:pStyle w:val="ListParagraph"/>
              <w:ind w:left="360"/>
              <w:rPr>
                <w:rFonts w:ascii="Arial" w:hAnsi="Arial" w:cs="Arial"/>
                <w:b/>
                <w:sz w:val="20"/>
              </w:rPr>
            </w:pPr>
          </w:p>
          <w:tbl>
            <w:tblPr>
              <w:tblW w:w="8434" w:type="dxa"/>
              <w:tblLook w:val="04A0" w:firstRow="1" w:lastRow="0" w:firstColumn="1" w:lastColumn="0" w:noHBand="0" w:noVBand="1"/>
            </w:tblPr>
            <w:tblGrid>
              <w:gridCol w:w="3120"/>
              <w:gridCol w:w="2326"/>
              <w:gridCol w:w="2988"/>
            </w:tblGrid>
            <w:tr w:rsidR="007E0AAE" w:rsidRPr="00725207" w14:paraId="2080043E" w14:textId="77777777" w:rsidTr="002747B1">
              <w:trPr>
                <w:trHeight w:val="595"/>
              </w:trPr>
              <w:tc>
                <w:tcPr>
                  <w:tcW w:w="3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14EDE7" w14:textId="77777777" w:rsidR="007E0AAE" w:rsidRPr="00725207" w:rsidRDefault="007E0AAE" w:rsidP="007E0AAE">
                  <w:pPr>
                    <w:jc w:val="center"/>
                    <w:rPr>
                      <w:rFonts w:ascii="Arial" w:hAnsi="Arial" w:cs="Arial"/>
                      <w:b/>
                      <w:sz w:val="20"/>
                    </w:rPr>
                  </w:pPr>
                  <w:r w:rsidRPr="0030565C">
                    <w:rPr>
                      <w:rFonts w:ascii="Arial" w:hAnsi="Arial" w:cs="Arial"/>
                      <w:b/>
                      <w:sz w:val="20"/>
                    </w:rPr>
                    <w:t>Scope</w:t>
                  </w:r>
                  <w:r>
                    <w:rPr>
                      <w:rFonts w:ascii="Arial" w:hAnsi="Arial" w:cs="Arial"/>
                      <w:b/>
                      <w:sz w:val="20"/>
                    </w:rPr>
                    <w:t xml:space="preserve"> of Work</w:t>
                  </w:r>
                </w:p>
              </w:tc>
              <w:tc>
                <w:tcPr>
                  <w:tcW w:w="2326" w:type="dxa"/>
                  <w:tcBorders>
                    <w:top w:val="single" w:sz="8" w:space="0" w:color="auto"/>
                    <w:left w:val="nil"/>
                    <w:bottom w:val="single" w:sz="8" w:space="0" w:color="auto"/>
                    <w:right w:val="single" w:sz="8" w:space="0" w:color="auto"/>
                  </w:tcBorders>
                  <w:shd w:val="clear" w:color="auto" w:fill="auto"/>
                  <w:vAlign w:val="center"/>
                  <w:hideMark/>
                </w:tcPr>
                <w:p w14:paraId="69F771E2" w14:textId="77777777" w:rsidR="007E0AAE" w:rsidRPr="00725207" w:rsidRDefault="007E0AAE" w:rsidP="007E0AAE">
                  <w:pPr>
                    <w:jc w:val="center"/>
                    <w:rPr>
                      <w:rFonts w:ascii="Arial" w:hAnsi="Arial" w:cs="Arial"/>
                      <w:b/>
                      <w:sz w:val="20"/>
                    </w:rPr>
                  </w:pPr>
                  <w:r w:rsidRPr="00725207">
                    <w:rPr>
                      <w:rFonts w:ascii="Arial" w:hAnsi="Arial" w:cs="Arial"/>
                      <w:b/>
                      <w:sz w:val="20"/>
                    </w:rPr>
                    <w:t>Import content percentage</w:t>
                  </w:r>
                </w:p>
              </w:tc>
              <w:tc>
                <w:tcPr>
                  <w:tcW w:w="2988" w:type="dxa"/>
                  <w:tcBorders>
                    <w:top w:val="single" w:sz="8" w:space="0" w:color="auto"/>
                    <w:left w:val="nil"/>
                    <w:bottom w:val="single" w:sz="8" w:space="0" w:color="auto"/>
                    <w:right w:val="single" w:sz="8" w:space="0" w:color="auto"/>
                  </w:tcBorders>
                  <w:shd w:val="clear" w:color="auto" w:fill="auto"/>
                  <w:vAlign w:val="center"/>
                  <w:hideMark/>
                </w:tcPr>
                <w:p w14:paraId="54D8E96E" w14:textId="77777777" w:rsidR="007E0AAE" w:rsidRPr="00725207" w:rsidRDefault="007E0AAE" w:rsidP="007E0AAE">
                  <w:pPr>
                    <w:jc w:val="center"/>
                    <w:rPr>
                      <w:rFonts w:ascii="Arial" w:hAnsi="Arial" w:cs="Arial"/>
                      <w:b/>
                      <w:sz w:val="20"/>
                    </w:rPr>
                  </w:pPr>
                  <w:r w:rsidRPr="00725207">
                    <w:rPr>
                      <w:rFonts w:ascii="Arial" w:hAnsi="Arial" w:cs="Arial"/>
                      <w:b/>
                      <w:sz w:val="20"/>
                    </w:rPr>
                    <w:t>Local content percentage</w:t>
                  </w:r>
                </w:p>
              </w:tc>
            </w:tr>
            <w:tr w:rsidR="007E0AAE" w:rsidRPr="00725207" w14:paraId="62028B8E" w14:textId="77777777" w:rsidTr="002747B1">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6A2F8BD9" w14:textId="77777777" w:rsidR="007E0AAE" w:rsidRPr="00725207" w:rsidRDefault="007E0AAE" w:rsidP="007E0AAE">
                  <w:pPr>
                    <w:rPr>
                      <w:rFonts w:ascii="Arial" w:hAnsi="Arial" w:cs="Arial"/>
                      <w:bCs/>
                      <w:sz w:val="20"/>
                    </w:rPr>
                  </w:pPr>
                  <w:r w:rsidRPr="00725207">
                    <w:rPr>
                      <w:rFonts w:ascii="Arial" w:hAnsi="Arial" w:cs="Arial"/>
                      <w:bCs/>
                      <w:sz w:val="20"/>
                    </w:rPr>
                    <w:t>Professional services</w:t>
                  </w:r>
                </w:p>
              </w:tc>
              <w:tc>
                <w:tcPr>
                  <w:tcW w:w="2326" w:type="dxa"/>
                  <w:tcBorders>
                    <w:top w:val="nil"/>
                    <w:left w:val="nil"/>
                    <w:bottom w:val="single" w:sz="8" w:space="0" w:color="auto"/>
                    <w:right w:val="single" w:sz="8" w:space="0" w:color="auto"/>
                  </w:tcBorders>
                  <w:shd w:val="clear" w:color="auto" w:fill="auto"/>
                  <w:vAlign w:val="center"/>
                  <w:hideMark/>
                </w:tcPr>
                <w:p w14:paraId="3D14EF0E" w14:textId="77777777" w:rsidR="007E0AAE" w:rsidRPr="00725207" w:rsidRDefault="007E0AAE" w:rsidP="007E0AAE">
                  <w:pPr>
                    <w:jc w:val="right"/>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6723C327" w14:textId="77777777" w:rsidR="007E0AAE" w:rsidRPr="00725207" w:rsidRDefault="007E0AAE" w:rsidP="007E0AAE">
                  <w:pPr>
                    <w:jc w:val="center"/>
                    <w:rPr>
                      <w:rFonts w:ascii="Arial" w:hAnsi="Arial" w:cs="Arial"/>
                      <w:bCs/>
                      <w:sz w:val="20"/>
                    </w:rPr>
                  </w:pPr>
                </w:p>
              </w:tc>
            </w:tr>
            <w:tr w:rsidR="007E0AAE" w:rsidRPr="00725207" w14:paraId="5C2291E0" w14:textId="77777777" w:rsidTr="002747B1">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16B09F01" w14:textId="77777777" w:rsidR="007E0AAE" w:rsidRPr="00725207" w:rsidRDefault="007E0AAE" w:rsidP="007E0AAE">
                  <w:pPr>
                    <w:rPr>
                      <w:rFonts w:ascii="Arial" w:hAnsi="Arial" w:cs="Arial"/>
                      <w:bCs/>
                      <w:sz w:val="20"/>
                    </w:rPr>
                  </w:pPr>
                  <w:r w:rsidRPr="00725207">
                    <w:rPr>
                      <w:rFonts w:ascii="Arial" w:hAnsi="Arial" w:cs="Arial"/>
                      <w:bCs/>
                      <w:sz w:val="20"/>
                    </w:rPr>
                    <w:t>Hardware</w:t>
                  </w:r>
                </w:p>
              </w:tc>
              <w:tc>
                <w:tcPr>
                  <w:tcW w:w="2326" w:type="dxa"/>
                  <w:tcBorders>
                    <w:top w:val="nil"/>
                    <w:left w:val="nil"/>
                    <w:bottom w:val="single" w:sz="8" w:space="0" w:color="auto"/>
                    <w:right w:val="single" w:sz="8" w:space="0" w:color="auto"/>
                  </w:tcBorders>
                  <w:shd w:val="clear" w:color="auto" w:fill="auto"/>
                </w:tcPr>
                <w:p w14:paraId="10D0A9BB" w14:textId="77777777" w:rsidR="007E0AAE" w:rsidRPr="00725207" w:rsidRDefault="007E0AAE" w:rsidP="007E0AAE">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300C1F89" w14:textId="77777777" w:rsidR="007E0AAE" w:rsidRPr="00725207" w:rsidRDefault="007E0AAE" w:rsidP="007E0AAE">
                  <w:pPr>
                    <w:jc w:val="center"/>
                    <w:rPr>
                      <w:rFonts w:ascii="Arial" w:hAnsi="Arial" w:cs="Arial"/>
                      <w:bCs/>
                      <w:sz w:val="20"/>
                    </w:rPr>
                  </w:pPr>
                </w:p>
              </w:tc>
            </w:tr>
            <w:tr w:rsidR="007E0AAE" w:rsidRPr="00725207" w14:paraId="514523F5" w14:textId="77777777" w:rsidTr="002747B1">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354326AD" w14:textId="77777777" w:rsidR="007E0AAE" w:rsidRPr="00725207" w:rsidRDefault="007E0AAE" w:rsidP="007E0AAE">
                  <w:pPr>
                    <w:rPr>
                      <w:rFonts w:ascii="Arial" w:hAnsi="Arial" w:cs="Arial"/>
                      <w:bCs/>
                      <w:sz w:val="20"/>
                    </w:rPr>
                  </w:pPr>
                  <w:r w:rsidRPr="00725207">
                    <w:rPr>
                      <w:rFonts w:ascii="Arial" w:hAnsi="Arial" w:cs="Arial"/>
                      <w:bCs/>
                      <w:sz w:val="20"/>
                    </w:rPr>
                    <w:t>Software licenses subscription</w:t>
                  </w:r>
                </w:p>
              </w:tc>
              <w:tc>
                <w:tcPr>
                  <w:tcW w:w="2326" w:type="dxa"/>
                  <w:tcBorders>
                    <w:top w:val="nil"/>
                    <w:left w:val="nil"/>
                    <w:bottom w:val="single" w:sz="8" w:space="0" w:color="auto"/>
                    <w:right w:val="single" w:sz="8" w:space="0" w:color="auto"/>
                  </w:tcBorders>
                  <w:shd w:val="clear" w:color="auto" w:fill="auto"/>
                </w:tcPr>
                <w:p w14:paraId="6C2F8EB1" w14:textId="77777777" w:rsidR="007E0AAE" w:rsidRPr="00725207" w:rsidRDefault="007E0AAE" w:rsidP="007E0AAE">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7781FFF4" w14:textId="77777777" w:rsidR="007E0AAE" w:rsidRPr="00725207" w:rsidRDefault="007E0AAE" w:rsidP="007E0AAE">
                  <w:pPr>
                    <w:jc w:val="center"/>
                    <w:rPr>
                      <w:rFonts w:ascii="Arial" w:hAnsi="Arial" w:cs="Arial"/>
                      <w:bCs/>
                      <w:sz w:val="20"/>
                    </w:rPr>
                  </w:pPr>
                </w:p>
              </w:tc>
            </w:tr>
            <w:tr w:rsidR="007E0AAE" w:rsidRPr="00725207" w14:paraId="7EC98004" w14:textId="77777777" w:rsidTr="002747B1">
              <w:trPr>
                <w:trHeight w:val="595"/>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648152A1" w14:textId="77777777" w:rsidR="007E0AAE" w:rsidRPr="00725207" w:rsidRDefault="007E0AAE" w:rsidP="007E0AAE">
                  <w:pPr>
                    <w:rPr>
                      <w:rFonts w:ascii="Arial" w:hAnsi="Arial" w:cs="Arial"/>
                      <w:bCs/>
                      <w:sz w:val="20"/>
                    </w:rPr>
                  </w:pPr>
                  <w:r w:rsidRPr="00725207">
                    <w:rPr>
                      <w:rFonts w:ascii="Arial" w:hAnsi="Arial" w:cs="Arial"/>
                      <w:bCs/>
                      <w:sz w:val="20"/>
                    </w:rPr>
                    <w:t>Software maintenance and support</w:t>
                  </w:r>
                </w:p>
              </w:tc>
              <w:tc>
                <w:tcPr>
                  <w:tcW w:w="2326" w:type="dxa"/>
                  <w:tcBorders>
                    <w:top w:val="nil"/>
                    <w:left w:val="nil"/>
                    <w:bottom w:val="single" w:sz="8" w:space="0" w:color="auto"/>
                    <w:right w:val="single" w:sz="8" w:space="0" w:color="auto"/>
                  </w:tcBorders>
                  <w:shd w:val="clear" w:color="auto" w:fill="auto"/>
                </w:tcPr>
                <w:p w14:paraId="504BE884" w14:textId="77777777" w:rsidR="007E0AAE" w:rsidRPr="00725207" w:rsidRDefault="007E0AAE" w:rsidP="007E0AAE">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0B23FDBA" w14:textId="77777777" w:rsidR="007E0AAE" w:rsidRPr="00725207" w:rsidRDefault="007E0AAE" w:rsidP="007E0AAE">
                  <w:pPr>
                    <w:jc w:val="center"/>
                    <w:rPr>
                      <w:rFonts w:ascii="Arial" w:hAnsi="Arial" w:cs="Arial"/>
                      <w:bCs/>
                      <w:sz w:val="20"/>
                    </w:rPr>
                  </w:pPr>
                </w:p>
              </w:tc>
            </w:tr>
            <w:tr w:rsidR="007E0AAE" w:rsidRPr="00725207" w14:paraId="28CE68F2" w14:textId="77777777" w:rsidTr="002747B1">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1341032E" w14:textId="77777777" w:rsidR="007E0AAE" w:rsidRPr="00725207" w:rsidRDefault="007E0AAE" w:rsidP="007E0AAE">
                  <w:pPr>
                    <w:rPr>
                      <w:rFonts w:ascii="Arial" w:hAnsi="Arial" w:cs="Arial"/>
                      <w:bCs/>
                      <w:sz w:val="20"/>
                    </w:rPr>
                  </w:pPr>
                  <w:r w:rsidRPr="00725207">
                    <w:rPr>
                      <w:rFonts w:ascii="Arial" w:hAnsi="Arial" w:cs="Arial"/>
                      <w:bCs/>
                      <w:sz w:val="20"/>
                    </w:rPr>
                    <w:t>Other expenses</w:t>
                  </w:r>
                </w:p>
              </w:tc>
              <w:tc>
                <w:tcPr>
                  <w:tcW w:w="2326" w:type="dxa"/>
                  <w:tcBorders>
                    <w:top w:val="nil"/>
                    <w:left w:val="nil"/>
                    <w:bottom w:val="single" w:sz="8" w:space="0" w:color="auto"/>
                    <w:right w:val="single" w:sz="8" w:space="0" w:color="auto"/>
                  </w:tcBorders>
                  <w:shd w:val="clear" w:color="auto" w:fill="auto"/>
                  <w:vAlign w:val="center"/>
                  <w:hideMark/>
                </w:tcPr>
                <w:p w14:paraId="4023BA93" w14:textId="77777777" w:rsidR="007E0AAE" w:rsidRPr="00725207" w:rsidRDefault="007E0AAE" w:rsidP="007E0AAE">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35B98274" w14:textId="77777777" w:rsidR="007E0AAE" w:rsidRPr="00725207" w:rsidRDefault="007E0AAE" w:rsidP="007E0AAE">
                  <w:pPr>
                    <w:jc w:val="center"/>
                    <w:rPr>
                      <w:rFonts w:ascii="Arial" w:hAnsi="Arial" w:cs="Arial"/>
                      <w:bCs/>
                      <w:sz w:val="20"/>
                    </w:rPr>
                  </w:pPr>
                </w:p>
              </w:tc>
            </w:tr>
          </w:tbl>
          <w:p w14:paraId="119CC65C" w14:textId="77777777" w:rsidR="007E0AAE" w:rsidRPr="00DC7660" w:rsidRDefault="007E0AAE" w:rsidP="007E0AAE">
            <w:pPr>
              <w:pStyle w:val="ListParagraph"/>
              <w:ind w:left="360"/>
              <w:rPr>
                <w:rFonts w:ascii="Arial" w:hAnsi="Arial" w:cs="Arial"/>
                <w:b/>
                <w:sz w:val="20"/>
              </w:rPr>
            </w:pPr>
          </w:p>
          <w:p w14:paraId="467284F9" w14:textId="77777777" w:rsidR="007E0AAE" w:rsidRPr="00861BE0" w:rsidRDefault="007E0AAE" w:rsidP="007E0AAE">
            <w:pPr>
              <w:tabs>
                <w:tab w:val="left" w:pos="720"/>
              </w:tabs>
              <w:spacing w:line="276" w:lineRule="auto"/>
              <w:jc w:val="both"/>
              <w:rPr>
                <w:rFonts w:ascii="Arial" w:hAnsi="Arial" w:cs="Arial"/>
                <w:sz w:val="20"/>
                <w:lang w:val="en-ZA"/>
              </w:rPr>
            </w:pPr>
          </w:p>
          <w:p w14:paraId="32641E39" w14:textId="77777777" w:rsidR="007E0AAE" w:rsidRPr="00A63536" w:rsidRDefault="007E0AAE" w:rsidP="007E0AAE">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45E83B69" w14:textId="77777777" w:rsidR="007E0AAE" w:rsidRPr="00FA31B2" w:rsidRDefault="007E0AAE" w:rsidP="007E0AAE">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7E0AAE" w:rsidRPr="000C5130" w14:paraId="1520C774" w14:textId="77777777" w:rsidTr="002747B1">
              <w:trPr>
                <w:trHeight w:val="341"/>
              </w:trPr>
              <w:tc>
                <w:tcPr>
                  <w:tcW w:w="3676" w:type="dxa"/>
                  <w:shd w:val="clear" w:color="auto" w:fill="D9D9D9" w:themeFill="background1" w:themeFillShade="D9"/>
                </w:tcPr>
                <w:p w14:paraId="793C08A7" w14:textId="77777777" w:rsidR="007E0AAE" w:rsidRPr="000C5130" w:rsidRDefault="007E0AAE" w:rsidP="007E0AAE">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0F24E2E3" w14:textId="77777777" w:rsidR="007E0AAE" w:rsidRPr="000C5130" w:rsidRDefault="007E0AAE" w:rsidP="007E0AAE">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7E0AAE" w:rsidRPr="000C5130" w14:paraId="6BBCC0EB" w14:textId="77777777" w:rsidTr="002747B1">
              <w:trPr>
                <w:trHeight w:val="359"/>
              </w:trPr>
              <w:tc>
                <w:tcPr>
                  <w:tcW w:w="3676" w:type="dxa"/>
                  <w:shd w:val="clear" w:color="auto" w:fill="auto"/>
                </w:tcPr>
                <w:p w14:paraId="25906E55" w14:textId="77777777" w:rsidR="007E0AAE" w:rsidRPr="000C5130" w:rsidRDefault="007E0AAE" w:rsidP="007E0AAE">
                  <w:pPr>
                    <w:tabs>
                      <w:tab w:val="left" w:pos="720"/>
                    </w:tabs>
                    <w:spacing w:line="276" w:lineRule="auto"/>
                    <w:jc w:val="both"/>
                    <w:rPr>
                      <w:rFonts w:ascii="Arial" w:hAnsi="Arial" w:cs="Arial"/>
                      <w:sz w:val="20"/>
                    </w:rPr>
                  </w:pPr>
                </w:p>
              </w:tc>
              <w:tc>
                <w:tcPr>
                  <w:tcW w:w="3676" w:type="dxa"/>
                  <w:shd w:val="clear" w:color="auto" w:fill="auto"/>
                </w:tcPr>
                <w:p w14:paraId="30E56768" w14:textId="77777777" w:rsidR="007E0AAE" w:rsidRPr="000C5130" w:rsidRDefault="007E0AAE" w:rsidP="007E0AAE">
                  <w:pPr>
                    <w:tabs>
                      <w:tab w:val="left" w:pos="720"/>
                    </w:tabs>
                    <w:spacing w:line="276" w:lineRule="auto"/>
                    <w:jc w:val="both"/>
                    <w:rPr>
                      <w:rFonts w:ascii="Arial" w:hAnsi="Arial" w:cs="Arial"/>
                      <w:sz w:val="20"/>
                    </w:rPr>
                  </w:pPr>
                </w:p>
              </w:tc>
            </w:tr>
          </w:tbl>
          <w:p w14:paraId="4341E3CB" w14:textId="77777777" w:rsidR="007E0AAE" w:rsidRDefault="007E0AAE" w:rsidP="007E0AAE">
            <w:pPr>
              <w:tabs>
                <w:tab w:val="left" w:pos="720"/>
              </w:tabs>
              <w:spacing w:line="360" w:lineRule="auto"/>
              <w:ind w:left="360"/>
              <w:jc w:val="both"/>
              <w:rPr>
                <w:rFonts w:ascii="Arial" w:hAnsi="Arial" w:cs="Arial"/>
                <w:b/>
                <w:sz w:val="20"/>
                <w:lang w:val="en-ZA"/>
              </w:rPr>
            </w:pPr>
          </w:p>
          <w:p w14:paraId="51CCB64A" w14:textId="77777777" w:rsidR="007E0AAE" w:rsidRPr="006E4F88" w:rsidRDefault="007E0AAE" w:rsidP="007E0AAE">
            <w:pPr>
              <w:tabs>
                <w:tab w:val="left" w:pos="720"/>
              </w:tabs>
              <w:spacing w:line="360" w:lineRule="auto"/>
              <w:ind w:left="360"/>
              <w:jc w:val="both"/>
              <w:rPr>
                <w:rFonts w:ascii="Arial" w:hAnsi="Arial" w:cs="Arial"/>
                <w:b/>
                <w:sz w:val="20"/>
                <w:lang w:val="en-ZA"/>
              </w:rPr>
            </w:pPr>
          </w:p>
          <w:p w14:paraId="357A2307" w14:textId="77777777" w:rsidR="007E0AAE" w:rsidRDefault="007E0AAE" w:rsidP="007E0AAE">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7E0AAE" w:rsidRPr="000C5130" w14:paraId="0953F42B" w14:textId="77777777" w:rsidTr="002747B1">
              <w:trPr>
                <w:trHeight w:val="287"/>
              </w:trPr>
              <w:tc>
                <w:tcPr>
                  <w:tcW w:w="3694" w:type="dxa"/>
                  <w:shd w:val="clear" w:color="auto" w:fill="D9D9D9" w:themeFill="background1" w:themeFillShade="D9"/>
                </w:tcPr>
                <w:p w14:paraId="299E9DD5" w14:textId="77777777" w:rsidR="007E0AAE" w:rsidRPr="000C5130" w:rsidRDefault="007E0AAE" w:rsidP="007E0AAE">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4519C97F" w14:textId="77777777" w:rsidR="007E0AAE" w:rsidRPr="000C5130" w:rsidRDefault="007E0AAE" w:rsidP="007E0AAE">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7E0AAE" w:rsidRPr="000C5130" w14:paraId="6DC9323E" w14:textId="77777777" w:rsidTr="002747B1">
              <w:trPr>
                <w:trHeight w:val="302"/>
              </w:trPr>
              <w:tc>
                <w:tcPr>
                  <w:tcW w:w="3694" w:type="dxa"/>
                  <w:shd w:val="clear" w:color="auto" w:fill="auto"/>
                </w:tcPr>
                <w:p w14:paraId="74CABFBA" w14:textId="77777777" w:rsidR="007E0AAE" w:rsidRPr="000C5130" w:rsidRDefault="007E0AAE" w:rsidP="007E0AAE">
                  <w:pPr>
                    <w:tabs>
                      <w:tab w:val="left" w:pos="720"/>
                    </w:tabs>
                    <w:spacing w:line="276" w:lineRule="auto"/>
                    <w:jc w:val="both"/>
                    <w:rPr>
                      <w:rFonts w:ascii="Arial" w:hAnsi="Arial" w:cs="Arial"/>
                      <w:sz w:val="20"/>
                    </w:rPr>
                  </w:pPr>
                </w:p>
              </w:tc>
              <w:tc>
                <w:tcPr>
                  <w:tcW w:w="3694" w:type="dxa"/>
                  <w:shd w:val="clear" w:color="auto" w:fill="auto"/>
                </w:tcPr>
                <w:p w14:paraId="212A45EC" w14:textId="77777777" w:rsidR="007E0AAE" w:rsidRPr="000C5130" w:rsidRDefault="007E0AAE" w:rsidP="007E0AAE">
                  <w:pPr>
                    <w:tabs>
                      <w:tab w:val="left" w:pos="720"/>
                    </w:tabs>
                    <w:spacing w:line="276" w:lineRule="auto"/>
                    <w:jc w:val="both"/>
                    <w:rPr>
                      <w:rFonts w:ascii="Arial" w:hAnsi="Arial" w:cs="Arial"/>
                      <w:sz w:val="20"/>
                    </w:rPr>
                  </w:pPr>
                </w:p>
              </w:tc>
            </w:tr>
          </w:tbl>
          <w:p w14:paraId="5A99679D" w14:textId="77777777" w:rsidR="007E0AAE" w:rsidRDefault="007E0AAE" w:rsidP="007E0AAE">
            <w:pPr>
              <w:pStyle w:val="ListParagraph"/>
              <w:rPr>
                <w:rFonts w:ascii="Arial" w:hAnsi="Arial" w:cs="Arial"/>
                <w:b/>
                <w:sz w:val="20"/>
                <w:lang w:val="en-ZA"/>
              </w:rPr>
            </w:pPr>
          </w:p>
          <w:p w14:paraId="4A28CBE0" w14:textId="77777777" w:rsidR="007E0AAE" w:rsidRDefault="007E0AAE" w:rsidP="007E0AAE">
            <w:pPr>
              <w:pStyle w:val="ListParagraph"/>
              <w:rPr>
                <w:rFonts w:ascii="Arial" w:hAnsi="Arial" w:cs="Arial"/>
                <w:b/>
                <w:sz w:val="20"/>
                <w:lang w:val="en-ZA"/>
              </w:rPr>
            </w:pPr>
          </w:p>
          <w:p w14:paraId="1A22220D" w14:textId="77777777" w:rsidR="007E0AAE" w:rsidRDefault="007E0AAE" w:rsidP="007E0AAE">
            <w:pPr>
              <w:pStyle w:val="ListParagraph"/>
              <w:rPr>
                <w:rFonts w:ascii="Arial" w:hAnsi="Arial" w:cs="Arial"/>
                <w:b/>
                <w:sz w:val="20"/>
                <w:lang w:val="en-ZA"/>
              </w:rPr>
            </w:pPr>
          </w:p>
          <w:p w14:paraId="2A80FFC0" w14:textId="77777777" w:rsidR="007E0AAE" w:rsidRDefault="007E0AAE" w:rsidP="007E0AAE">
            <w:pPr>
              <w:tabs>
                <w:tab w:val="left" w:pos="720"/>
              </w:tabs>
              <w:spacing w:line="276" w:lineRule="auto"/>
              <w:jc w:val="both"/>
              <w:rPr>
                <w:rFonts w:ascii="Arial" w:hAnsi="Arial" w:cs="Arial"/>
                <w:b/>
                <w:sz w:val="20"/>
                <w:lang w:val="en-ZA"/>
              </w:rPr>
            </w:pPr>
          </w:p>
          <w:p w14:paraId="31E036FA" w14:textId="77777777" w:rsidR="007E0AAE" w:rsidRPr="006E4F88" w:rsidRDefault="007E0AAE" w:rsidP="007E0AAE">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01A9E094" w14:textId="77777777" w:rsidR="007E0AAE" w:rsidRDefault="007E0AAE" w:rsidP="007E0AAE">
            <w:pPr>
              <w:tabs>
                <w:tab w:val="left" w:pos="720"/>
              </w:tabs>
              <w:jc w:val="both"/>
              <w:rPr>
                <w:rFonts w:ascii="Arial" w:hAnsi="Arial" w:cs="Arial"/>
                <w:sz w:val="20"/>
              </w:rPr>
            </w:pPr>
          </w:p>
          <w:p w14:paraId="6D193361" w14:textId="77777777" w:rsidR="007E0AAE" w:rsidRPr="007328B8" w:rsidRDefault="007E0AAE" w:rsidP="007E0AAE">
            <w:pPr>
              <w:spacing w:after="200" w:line="360" w:lineRule="auto"/>
              <w:ind w:left="360"/>
              <w:contextualSpacing/>
              <w:jc w:val="both"/>
              <w:rPr>
                <w:rFonts w:ascii="Arial" w:hAnsi="Arial" w:cs="Arial"/>
                <w:sz w:val="20"/>
              </w:rPr>
            </w:pPr>
            <w:r w:rsidRPr="007328B8">
              <w:rPr>
                <w:rFonts w:ascii="Arial" w:hAnsi="Arial" w:cs="Arial"/>
                <w:sz w:val="20"/>
              </w:rPr>
              <w:t>Tenderers are required to submit proposals in a table below for developing the skills of unemployed candidates in the country. Skills development is intended to address Eskom’s core, scarce and critical skills and the Mict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7AD4F11E" w14:textId="77777777" w:rsidR="007E0AAE" w:rsidRDefault="007E0AAE" w:rsidP="007E0AAE">
            <w:pPr>
              <w:spacing w:after="200" w:line="360" w:lineRule="auto"/>
              <w:ind w:left="360"/>
              <w:contextualSpacing/>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7E0AAE" w:rsidRPr="000C5130" w14:paraId="1B5F8309" w14:textId="77777777" w:rsidTr="002747B1">
              <w:trPr>
                <w:trHeight w:val="359"/>
              </w:trPr>
              <w:tc>
                <w:tcPr>
                  <w:tcW w:w="3668" w:type="dxa"/>
                  <w:shd w:val="clear" w:color="auto" w:fill="D9D9D9" w:themeFill="background1" w:themeFillShade="D9"/>
                </w:tcPr>
                <w:p w14:paraId="56331265" w14:textId="77777777" w:rsidR="007E0AAE" w:rsidRPr="000C5130" w:rsidRDefault="007E0AAE" w:rsidP="007E0AAE">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00558855" w14:textId="77777777" w:rsidR="007E0AAE" w:rsidRDefault="007E0AAE" w:rsidP="007E0AAE">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6C5BDDF9" w14:textId="77777777" w:rsidR="007E0AAE" w:rsidRPr="000C5130" w:rsidRDefault="007E0AAE" w:rsidP="007E0AAE">
                  <w:pPr>
                    <w:tabs>
                      <w:tab w:val="left" w:pos="720"/>
                    </w:tabs>
                    <w:jc w:val="center"/>
                    <w:rPr>
                      <w:rFonts w:ascii="Arial" w:hAnsi="Arial" w:cs="Arial"/>
                      <w:b/>
                      <w:sz w:val="20"/>
                    </w:rPr>
                  </w:pPr>
                  <w:r>
                    <w:rPr>
                      <w:rFonts w:ascii="Arial" w:hAnsi="Arial" w:cs="Arial"/>
                      <w:b/>
                      <w:sz w:val="20"/>
                    </w:rPr>
                    <w:t>Proposed Number of Candidates</w:t>
                  </w:r>
                </w:p>
              </w:tc>
            </w:tr>
            <w:tr w:rsidR="007E0AAE" w:rsidRPr="000C5130" w14:paraId="7C9E265D" w14:textId="77777777" w:rsidTr="002747B1">
              <w:trPr>
                <w:trHeight w:val="359"/>
              </w:trPr>
              <w:tc>
                <w:tcPr>
                  <w:tcW w:w="3668" w:type="dxa"/>
                  <w:shd w:val="clear" w:color="auto" w:fill="auto"/>
                  <w:vAlign w:val="bottom"/>
                </w:tcPr>
                <w:p w14:paraId="3A32AF96" w14:textId="77777777" w:rsidR="007E0AAE" w:rsidRPr="00B73754" w:rsidRDefault="007E0AAE" w:rsidP="007E0AAE">
                  <w:pPr>
                    <w:spacing w:line="276" w:lineRule="auto"/>
                    <w:rPr>
                      <w:rFonts w:ascii="Arial" w:hAnsi="Arial" w:cs="Arial"/>
                      <w:sz w:val="20"/>
                    </w:rPr>
                  </w:pPr>
                  <w:r>
                    <w:rPr>
                      <w:rFonts w:ascii="Arial" w:hAnsi="Arial" w:cs="Arial"/>
                      <w:sz w:val="20"/>
                    </w:rPr>
                    <w:t>Cloud security analyst</w:t>
                  </w:r>
                </w:p>
              </w:tc>
              <w:tc>
                <w:tcPr>
                  <w:tcW w:w="1674" w:type="dxa"/>
                </w:tcPr>
                <w:p w14:paraId="4586D3A0" w14:textId="77777777" w:rsidR="007E0AAE" w:rsidRDefault="007E0AAE" w:rsidP="007E0AAE">
                  <w:pPr>
                    <w:jc w:val="center"/>
                    <w:rPr>
                      <w:rFonts w:ascii="Arial" w:hAnsi="Arial" w:cs="Arial"/>
                      <w:sz w:val="20"/>
                    </w:rPr>
                  </w:pPr>
                  <w:r>
                    <w:rPr>
                      <w:rFonts w:ascii="Arial" w:hAnsi="Arial" w:cs="Arial"/>
                      <w:sz w:val="20"/>
                    </w:rPr>
                    <w:t>10</w:t>
                  </w:r>
                </w:p>
              </w:tc>
              <w:tc>
                <w:tcPr>
                  <w:tcW w:w="1984" w:type="dxa"/>
                </w:tcPr>
                <w:p w14:paraId="60717B90" w14:textId="77777777" w:rsidR="007E0AAE" w:rsidRPr="008A3FC8" w:rsidRDefault="007E0AAE" w:rsidP="007E0AAE">
                  <w:pPr>
                    <w:tabs>
                      <w:tab w:val="left" w:pos="720"/>
                    </w:tabs>
                    <w:jc w:val="center"/>
                    <w:rPr>
                      <w:rFonts w:ascii="Arial" w:hAnsi="Arial" w:cs="Arial"/>
                      <w:b/>
                      <w:sz w:val="20"/>
                    </w:rPr>
                  </w:pPr>
                </w:p>
              </w:tc>
            </w:tr>
            <w:tr w:rsidR="007E0AAE" w:rsidRPr="000C5130" w14:paraId="7912B0D0" w14:textId="77777777" w:rsidTr="002747B1">
              <w:trPr>
                <w:trHeight w:val="359"/>
              </w:trPr>
              <w:tc>
                <w:tcPr>
                  <w:tcW w:w="3668" w:type="dxa"/>
                  <w:shd w:val="clear" w:color="auto" w:fill="auto"/>
                  <w:vAlign w:val="bottom"/>
                </w:tcPr>
                <w:p w14:paraId="5A32C2EE" w14:textId="77777777" w:rsidR="007E0AAE" w:rsidRDefault="007E0AAE" w:rsidP="007E0AAE">
                  <w:pPr>
                    <w:spacing w:line="276" w:lineRule="auto"/>
                    <w:rPr>
                      <w:rFonts w:ascii="Arial" w:hAnsi="Arial" w:cs="Arial"/>
                      <w:sz w:val="20"/>
                    </w:rPr>
                  </w:pPr>
                  <w:r>
                    <w:rPr>
                      <w:rFonts w:ascii="Arial" w:hAnsi="Arial" w:cs="Arial"/>
                      <w:sz w:val="20"/>
                    </w:rPr>
                    <w:t>CompTIA SecOT+</w:t>
                  </w:r>
                </w:p>
              </w:tc>
              <w:tc>
                <w:tcPr>
                  <w:tcW w:w="1674" w:type="dxa"/>
                </w:tcPr>
                <w:p w14:paraId="686D1C1F" w14:textId="77777777" w:rsidR="007E0AAE" w:rsidRDefault="007E0AAE" w:rsidP="007E0AAE">
                  <w:pPr>
                    <w:jc w:val="center"/>
                    <w:rPr>
                      <w:rFonts w:ascii="Arial" w:hAnsi="Arial" w:cs="Arial"/>
                      <w:sz w:val="20"/>
                    </w:rPr>
                  </w:pPr>
                  <w:r>
                    <w:rPr>
                      <w:rFonts w:ascii="Arial" w:hAnsi="Arial" w:cs="Arial"/>
                      <w:sz w:val="20"/>
                    </w:rPr>
                    <w:t>10</w:t>
                  </w:r>
                </w:p>
              </w:tc>
              <w:tc>
                <w:tcPr>
                  <w:tcW w:w="1984" w:type="dxa"/>
                </w:tcPr>
                <w:p w14:paraId="3CDCAE2C" w14:textId="77777777" w:rsidR="007E0AAE" w:rsidRPr="008A3FC8" w:rsidRDefault="007E0AAE" w:rsidP="007E0AAE">
                  <w:pPr>
                    <w:tabs>
                      <w:tab w:val="left" w:pos="720"/>
                    </w:tabs>
                    <w:jc w:val="center"/>
                    <w:rPr>
                      <w:rFonts w:ascii="Arial" w:hAnsi="Arial" w:cs="Arial"/>
                      <w:b/>
                      <w:sz w:val="20"/>
                    </w:rPr>
                  </w:pPr>
                </w:p>
              </w:tc>
            </w:tr>
            <w:tr w:rsidR="007E0AAE" w:rsidRPr="000C5130" w14:paraId="1DE6FF06" w14:textId="77777777" w:rsidTr="002747B1">
              <w:trPr>
                <w:trHeight w:val="359"/>
              </w:trPr>
              <w:tc>
                <w:tcPr>
                  <w:tcW w:w="3668" w:type="dxa"/>
                  <w:shd w:val="clear" w:color="auto" w:fill="auto"/>
                  <w:vAlign w:val="bottom"/>
                </w:tcPr>
                <w:p w14:paraId="5D160BCE" w14:textId="77777777" w:rsidR="007E0AAE" w:rsidRDefault="007E0AAE" w:rsidP="007E0AAE">
                  <w:pPr>
                    <w:spacing w:line="276" w:lineRule="auto"/>
                    <w:rPr>
                      <w:rFonts w:ascii="Arial" w:hAnsi="Arial" w:cs="Arial"/>
                      <w:sz w:val="20"/>
                    </w:rPr>
                  </w:pPr>
                  <w:r>
                    <w:rPr>
                      <w:rFonts w:ascii="Arial" w:hAnsi="Arial" w:cs="Arial"/>
                      <w:sz w:val="20"/>
                    </w:rPr>
                    <w:t>Certified Web application security testing</w:t>
                  </w:r>
                </w:p>
              </w:tc>
              <w:tc>
                <w:tcPr>
                  <w:tcW w:w="1674" w:type="dxa"/>
                </w:tcPr>
                <w:p w14:paraId="31CFBB93" w14:textId="77777777" w:rsidR="007E0AAE" w:rsidRDefault="007E0AAE" w:rsidP="007E0AAE">
                  <w:pPr>
                    <w:jc w:val="center"/>
                    <w:rPr>
                      <w:rFonts w:ascii="Arial" w:hAnsi="Arial" w:cs="Arial"/>
                      <w:sz w:val="20"/>
                    </w:rPr>
                  </w:pPr>
                  <w:r>
                    <w:rPr>
                      <w:rFonts w:ascii="Arial" w:hAnsi="Arial" w:cs="Arial"/>
                      <w:sz w:val="20"/>
                    </w:rPr>
                    <w:t>10</w:t>
                  </w:r>
                </w:p>
              </w:tc>
              <w:tc>
                <w:tcPr>
                  <w:tcW w:w="1984" w:type="dxa"/>
                </w:tcPr>
                <w:p w14:paraId="095BB2CC" w14:textId="77777777" w:rsidR="007E0AAE" w:rsidRPr="008A3FC8" w:rsidRDefault="007E0AAE" w:rsidP="007E0AAE">
                  <w:pPr>
                    <w:tabs>
                      <w:tab w:val="left" w:pos="720"/>
                    </w:tabs>
                    <w:jc w:val="center"/>
                    <w:rPr>
                      <w:rFonts w:ascii="Arial" w:hAnsi="Arial" w:cs="Arial"/>
                      <w:b/>
                      <w:sz w:val="20"/>
                    </w:rPr>
                  </w:pPr>
                </w:p>
              </w:tc>
            </w:tr>
            <w:tr w:rsidR="007E0AAE" w:rsidRPr="000C5130" w14:paraId="1770902D" w14:textId="77777777" w:rsidTr="002747B1">
              <w:trPr>
                <w:trHeight w:val="359"/>
              </w:trPr>
              <w:tc>
                <w:tcPr>
                  <w:tcW w:w="3668" w:type="dxa"/>
                  <w:shd w:val="clear" w:color="auto" w:fill="auto"/>
                  <w:vAlign w:val="bottom"/>
                </w:tcPr>
                <w:p w14:paraId="41D24486" w14:textId="77777777" w:rsidR="007E0AAE" w:rsidRPr="00D76749" w:rsidRDefault="007E0AAE" w:rsidP="007E0AAE">
                  <w:pPr>
                    <w:spacing w:after="200" w:line="360" w:lineRule="auto"/>
                    <w:contextualSpacing/>
                    <w:jc w:val="both"/>
                    <w:rPr>
                      <w:rFonts w:ascii="Arial" w:hAnsi="Arial" w:cs="Arial"/>
                      <w:sz w:val="20"/>
                      <w:lang w:val="en-ZA"/>
                    </w:rPr>
                  </w:pPr>
                  <w:r>
                    <w:rPr>
                      <w:rFonts w:ascii="Arial" w:hAnsi="Arial" w:cs="Arial"/>
                      <w:sz w:val="20"/>
                    </w:rPr>
                    <w:t>Cyber security analyst</w:t>
                  </w:r>
                </w:p>
              </w:tc>
              <w:tc>
                <w:tcPr>
                  <w:tcW w:w="1674" w:type="dxa"/>
                </w:tcPr>
                <w:p w14:paraId="3A9B9D20" w14:textId="77777777" w:rsidR="007E0AAE" w:rsidRDefault="007E0AAE" w:rsidP="007E0AAE">
                  <w:pPr>
                    <w:jc w:val="center"/>
                    <w:rPr>
                      <w:rFonts w:ascii="Arial" w:hAnsi="Arial" w:cs="Arial"/>
                      <w:sz w:val="20"/>
                    </w:rPr>
                  </w:pPr>
                  <w:r>
                    <w:rPr>
                      <w:rFonts w:ascii="Arial" w:hAnsi="Arial" w:cs="Arial"/>
                      <w:sz w:val="20"/>
                    </w:rPr>
                    <w:t>5</w:t>
                  </w:r>
                </w:p>
              </w:tc>
              <w:tc>
                <w:tcPr>
                  <w:tcW w:w="1984" w:type="dxa"/>
                </w:tcPr>
                <w:p w14:paraId="7EE7A34C" w14:textId="77777777" w:rsidR="007E0AAE" w:rsidRPr="008A3FC8" w:rsidRDefault="007E0AAE" w:rsidP="007E0AAE">
                  <w:pPr>
                    <w:tabs>
                      <w:tab w:val="left" w:pos="720"/>
                    </w:tabs>
                    <w:jc w:val="center"/>
                    <w:rPr>
                      <w:rFonts w:ascii="Arial" w:hAnsi="Arial" w:cs="Arial"/>
                      <w:b/>
                      <w:sz w:val="20"/>
                    </w:rPr>
                  </w:pPr>
                </w:p>
              </w:tc>
            </w:tr>
            <w:tr w:rsidR="007E0AAE" w:rsidRPr="000C5130" w14:paraId="29A13C51" w14:textId="77777777" w:rsidTr="002747B1">
              <w:trPr>
                <w:trHeight w:val="359"/>
              </w:trPr>
              <w:tc>
                <w:tcPr>
                  <w:tcW w:w="3668" w:type="dxa"/>
                  <w:shd w:val="clear" w:color="auto" w:fill="auto"/>
                  <w:vAlign w:val="bottom"/>
                </w:tcPr>
                <w:p w14:paraId="5457C1AC" w14:textId="77777777" w:rsidR="007E0AAE" w:rsidRDefault="007E0AAE" w:rsidP="007E0AAE">
                  <w:pPr>
                    <w:spacing w:after="200" w:line="360" w:lineRule="auto"/>
                    <w:contextualSpacing/>
                    <w:jc w:val="both"/>
                    <w:rPr>
                      <w:rFonts w:ascii="Arial" w:hAnsi="Arial" w:cs="Arial"/>
                      <w:sz w:val="20"/>
                      <w:lang w:val="en-ZA"/>
                    </w:rPr>
                  </w:pPr>
                  <w:r>
                    <w:rPr>
                      <w:rFonts w:ascii="Arial" w:hAnsi="Arial" w:cs="Arial"/>
                      <w:sz w:val="20"/>
                    </w:rPr>
                    <w:t>Cloud security engineer</w:t>
                  </w:r>
                </w:p>
              </w:tc>
              <w:tc>
                <w:tcPr>
                  <w:tcW w:w="1674" w:type="dxa"/>
                </w:tcPr>
                <w:p w14:paraId="45ADCD95" w14:textId="77777777" w:rsidR="007E0AAE" w:rsidRDefault="007E0AAE" w:rsidP="007E0AAE">
                  <w:pPr>
                    <w:jc w:val="center"/>
                    <w:rPr>
                      <w:rFonts w:ascii="Arial" w:hAnsi="Arial" w:cs="Arial"/>
                      <w:sz w:val="20"/>
                    </w:rPr>
                  </w:pPr>
                  <w:r>
                    <w:rPr>
                      <w:rFonts w:ascii="Arial" w:hAnsi="Arial" w:cs="Arial"/>
                      <w:sz w:val="20"/>
                    </w:rPr>
                    <w:t>5</w:t>
                  </w:r>
                </w:p>
              </w:tc>
              <w:tc>
                <w:tcPr>
                  <w:tcW w:w="1984" w:type="dxa"/>
                </w:tcPr>
                <w:p w14:paraId="37B4AEC3" w14:textId="77777777" w:rsidR="007E0AAE" w:rsidRPr="008A3FC8" w:rsidRDefault="007E0AAE" w:rsidP="007E0AAE">
                  <w:pPr>
                    <w:tabs>
                      <w:tab w:val="left" w:pos="720"/>
                    </w:tabs>
                    <w:jc w:val="center"/>
                    <w:rPr>
                      <w:rFonts w:ascii="Arial" w:hAnsi="Arial" w:cs="Arial"/>
                      <w:b/>
                      <w:sz w:val="20"/>
                    </w:rPr>
                  </w:pPr>
                </w:p>
              </w:tc>
            </w:tr>
          </w:tbl>
          <w:p w14:paraId="2993C239" w14:textId="77777777" w:rsidR="007E0AAE" w:rsidRDefault="007E0AAE" w:rsidP="007E0AAE">
            <w:pPr>
              <w:spacing w:after="200" w:line="360" w:lineRule="auto"/>
              <w:ind w:left="360"/>
              <w:contextualSpacing/>
              <w:jc w:val="both"/>
              <w:rPr>
                <w:rFonts w:ascii="Arial" w:hAnsi="Arial" w:cs="Arial"/>
                <w:sz w:val="20"/>
                <w:lang w:val="en-ZA"/>
              </w:rPr>
            </w:pPr>
          </w:p>
          <w:p w14:paraId="248ED389" w14:textId="77777777" w:rsidR="007E0AAE" w:rsidRPr="007328B8" w:rsidRDefault="007E0AAE" w:rsidP="007E0AAE">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1655E58C" w14:textId="77777777" w:rsidR="007E0AAE" w:rsidRPr="007328B8" w:rsidRDefault="007E0AAE" w:rsidP="007E0AAE">
            <w:pPr>
              <w:spacing w:after="200" w:line="360" w:lineRule="auto"/>
              <w:ind w:left="360"/>
              <w:contextualSpacing/>
              <w:jc w:val="both"/>
              <w:rPr>
                <w:rFonts w:ascii="Arial" w:hAnsi="Arial" w:cs="Arial"/>
                <w:sz w:val="20"/>
                <w:lang w:val="en-ZA"/>
              </w:rPr>
            </w:pPr>
          </w:p>
          <w:p w14:paraId="71443C5C" w14:textId="7853D6DD" w:rsidR="007E0AAE" w:rsidRPr="000C5130" w:rsidRDefault="007E0AAE" w:rsidP="007E0AAE">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2690E211" w14:textId="6E55BA8D" w:rsidR="00175644" w:rsidRDefault="00175644" w:rsidP="00EB6A30">
      <w:pPr>
        <w:spacing w:after="120" w:line="276" w:lineRule="auto"/>
        <w:rPr>
          <w:rFonts w:ascii="Arial" w:hAnsi="Arial" w:cs="Arial"/>
          <w:b/>
          <w:sz w:val="22"/>
        </w:rPr>
      </w:pPr>
    </w:p>
    <w:p w14:paraId="2F2050B5" w14:textId="77777777" w:rsidR="00605594" w:rsidRPr="00506A41" w:rsidRDefault="00605594" w:rsidP="00605594">
      <w:pPr>
        <w:spacing w:after="120" w:line="276" w:lineRule="auto"/>
        <w:rPr>
          <w:rFonts w:ascii="Arial" w:hAnsi="Arial" w:cs="Arial"/>
          <w:b/>
          <w:sz w:val="22"/>
        </w:rPr>
      </w:pPr>
      <w:r w:rsidRPr="00506A41">
        <w:rPr>
          <w:rFonts w:ascii="Arial" w:hAnsi="Arial" w:cs="Arial"/>
          <w:b/>
          <w:sz w:val="22"/>
        </w:rPr>
        <w:t xml:space="preserve">Section </w:t>
      </w:r>
      <w:r>
        <w:rPr>
          <w:rFonts w:ascii="Arial" w:hAnsi="Arial" w:cs="Arial"/>
          <w:b/>
          <w:sz w:val="22"/>
        </w:rPr>
        <w:t>4</w:t>
      </w:r>
      <w:r w:rsidRPr="00506A41">
        <w:rPr>
          <w:rFonts w:ascii="Arial" w:hAnsi="Arial" w:cs="Arial"/>
          <w:b/>
          <w:sz w:val="22"/>
        </w:rPr>
        <w:t>: SD</w:t>
      </w:r>
      <w:r>
        <w:rPr>
          <w:rFonts w:ascii="Arial" w:hAnsi="Arial" w:cs="Arial"/>
          <w:b/>
          <w:sz w:val="22"/>
        </w:rPr>
        <w:t>L</w:t>
      </w:r>
      <w:r w:rsidRPr="00506A41">
        <w:rPr>
          <w:rFonts w:ascii="Arial" w:hAnsi="Arial" w:cs="Arial"/>
          <w:b/>
          <w:sz w:val="22"/>
        </w:rPr>
        <w:t>&amp;</w:t>
      </w:r>
      <w:r>
        <w:rPr>
          <w:rFonts w:ascii="Arial" w:hAnsi="Arial" w:cs="Arial"/>
          <w:b/>
          <w:sz w:val="22"/>
        </w:rPr>
        <w:t>I</w:t>
      </w:r>
      <w:r w:rsidRPr="00506A41">
        <w:rPr>
          <w:rFonts w:ascii="Arial" w:hAnsi="Arial" w:cs="Arial"/>
          <w:b/>
          <w:sz w:val="22"/>
        </w:rPr>
        <w:t xml:space="preserve"> </w:t>
      </w:r>
      <w:r>
        <w:rPr>
          <w:rFonts w:ascii="Arial" w:hAnsi="Arial" w:cs="Arial"/>
          <w:b/>
          <w:sz w:val="22"/>
        </w:rPr>
        <w:t>Retention</w:t>
      </w:r>
      <w:r w:rsidRPr="00506A41">
        <w:rPr>
          <w:rFonts w:ascii="Arial" w:hAnsi="Arial" w:cs="Arial"/>
          <w:b/>
          <w:sz w:val="22"/>
        </w:rPr>
        <w:t xml:space="preserve"> and Performance Security</w:t>
      </w:r>
    </w:p>
    <w:tbl>
      <w:tblPr>
        <w:tblW w:w="90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5"/>
      </w:tblGrid>
      <w:tr w:rsidR="00605594" w:rsidRPr="007C175A" w14:paraId="6E90119E" w14:textId="77777777" w:rsidTr="007E0AAE">
        <w:trPr>
          <w:trHeight w:val="423"/>
        </w:trPr>
        <w:tc>
          <w:tcPr>
            <w:tcW w:w="9015" w:type="dxa"/>
            <w:shd w:val="clear" w:color="auto" w:fill="000000"/>
          </w:tcPr>
          <w:p w14:paraId="05C4EBA0" w14:textId="77777777" w:rsidR="00605594" w:rsidRPr="007C175A" w:rsidRDefault="00605594" w:rsidP="004A6E55">
            <w:pPr>
              <w:spacing w:after="120" w:line="276" w:lineRule="auto"/>
              <w:jc w:val="both"/>
              <w:rPr>
                <w:rFonts w:ascii="Arial" w:hAnsi="Arial" w:cs="Arial"/>
                <w:sz w:val="22"/>
                <w:szCs w:val="22"/>
                <w:lang w:val="en-ZA"/>
              </w:rPr>
            </w:pPr>
            <w:bookmarkStart w:id="2"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605594" w:rsidRPr="007C175A" w14:paraId="03329078" w14:textId="77777777" w:rsidTr="007E0AAE">
        <w:trPr>
          <w:trHeight w:val="756"/>
        </w:trPr>
        <w:tc>
          <w:tcPr>
            <w:tcW w:w="9015" w:type="dxa"/>
            <w:shd w:val="clear" w:color="auto" w:fill="auto"/>
          </w:tcPr>
          <w:p w14:paraId="2800D8F4" w14:textId="77777777" w:rsidR="00605594" w:rsidRPr="00F57C68" w:rsidRDefault="00605594" w:rsidP="004A6E55">
            <w:pPr>
              <w:spacing w:line="360" w:lineRule="auto"/>
              <w:jc w:val="both"/>
              <w:rPr>
                <w:rFonts w:ascii="Arial" w:hAnsi="Arial" w:cs="Arial"/>
                <w:sz w:val="20"/>
              </w:rPr>
            </w:pPr>
            <w:bookmarkStart w:id="3"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438FDA8A" w14:textId="77777777" w:rsidR="00605594" w:rsidRPr="00F57C68" w:rsidRDefault="00605594" w:rsidP="004A6E55">
            <w:pPr>
              <w:pStyle w:val="ListParagraph"/>
              <w:numPr>
                <w:ilvl w:val="0"/>
                <w:numId w:val="45"/>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00BFA811" w14:textId="77777777" w:rsidR="00605594" w:rsidRPr="00F57C68" w:rsidRDefault="00605594" w:rsidP="004A6E55">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539F5609" w14:textId="16FFD0A0" w:rsidR="00605594" w:rsidRPr="00F57C68" w:rsidRDefault="00605594" w:rsidP="004A6E55">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Should the report yield non-compliance results, Eskom will retain </w:t>
            </w:r>
            <w:r w:rsidR="00C75647" w:rsidRPr="00F57C68">
              <w:rPr>
                <w:rFonts w:ascii="Arial" w:hAnsi="Arial" w:cs="Arial"/>
                <w:sz w:val="20"/>
              </w:rPr>
              <w:t>2.5</w:t>
            </w:r>
            <w:r w:rsidRPr="00F57C68">
              <w:rPr>
                <w:rFonts w:ascii="Arial" w:hAnsi="Arial" w:cs="Arial"/>
                <w:sz w:val="20"/>
              </w:rPr>
              <w:t>%</w:t>
            </w:r>
            <w:r>
              <w:rPr>
                <w:rFonts w:ascii="Arial" w:hAnsi="Arial" w:cs="Arial"/>
                <w:sz w:val="20"/>
              </w:rPr>
              <w:t xml:space="preserve"> of the invoice amount</w:t>
            </w:r>
            <w:r w:rsidRPr="00F57C68">
              <w:rPr>
                <w:rFonts w:ascii="Arial" w:hAnsi="Arial" w:cs="Arial"/>
                <w:sz w:val="20"/>
              </w:rPr>
              <w:t>.</w:t>
            </w:r>
          </w:p>
          <w:p w14:paraId="22B48A83" w14:textId="77777777" w:rsidR="00605594" w:rsidRPr="00F57C68" w:rsidRDefault="00605594" w:rsidP="004A6E55">
            <w:pPr>
              <w:pStyle w:val="ListParagraph"/>
              <w:numPr>
                <w:ilvl w:val="0"/>
                <w:numId w:val="45"/>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bookmarkEnd w:id="2"/>
      <w:bookmarkEnd w:id="3"/>
    </w:tbl>
    <w:p w14:paraId="45DD0D02" w14:textId="77777777" w:rsidR="00605594" w:rsidRDefault="00605594" w:rsidP="00605594">
      <w:pPr>
        <w:spacing w:after="200" w:line="276" w:lineRule="auto"/>
        <w:rPr>
          <w:rFonts w:ascii="Arial" w:hAnsi="Arial" w:cs="Arial"/>
          <w:b/>
          <w:sz w:val="22"/>
        </w:rPr>
      </w:pPr>
    </w:p>
    <w:p w14:paraId="35DAD45A" w14:textId="747A0239"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7E0AAE">
        <w:trPr>
          <w:trHeight w:val="705"/>
        </w:trPr>
        <w:tc>
          <w:tcPr>
            <w:tcW w:w="9050" w:type="dxa"/>
            <w:shd w:val="clear" w:color="auto" w:fill="DDD9C3" w:themeFill="background2" w:themeFillShade="E6"/>
          </w:tcPr>
          <w:p w14:paraId="3F64373D" w14:textId="0B221EC7" w:rsidR="00990864" w:rsidRPr="00CB3564" w:rsidRDefault="00990864" w:rsidP="007E0AAE">
            <w:pPr>
              <w:pStyle w:val="ListParagraph"/>
              <w:numPr>
                <w:ilvl w:val="0"/>
                <w:numId w:val="25"/>
              </w:numPr>
              <w:spacing w:after="200" w:line="360" w:lineRule="auto"/>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 xml:space="preserve">The suppliers shall on a </w:t>
            </w:r>
            <w:r w:rsidR="00C75647">
              <w:rPr>
                <w:rFonts w:ascii="Arial" w:eastAsia="Calibri" w:hAnsi="Arial" w:cs="Arial"/>
                <w:sz w:val="20"/>
                <w:lang w:val="en-GB"/>
              </w:rPr>
              <w:t>half yea</w:t>
            </w:r>
            <w:r w:rsidRPr="00CB3564">
              <w:rPr>
                <w:rFonts w:ascii="Arial" w:eastAsia="Calibri" w:hAnsi="Arial" w:cs="Arial"/>
                <w:sz w:val="20"/>
                <w:lang w:val="en-GB"/>
              </w:rPr>
              <w:t>rly basis submit a report to Eskom in accordance with Data Collection Template on their compliance with the SDL&amp;I obligations described above.</w:t>
            </w:r>
            <w:bookmarkEnd w:id="4"/>
          </w:p>
          <w:p w14:paraId="081854E5" w14:textId="77777777" w:rsidR="00CB3564" w:rsidRPr="00337B1F" w:rsidRDefault="00CB3564" w:rsidP="007E0AAE">
            <w:pPr>
              <w:pStyle w:val="ListParagraph"/>
              <w:numPr>
                <w:ilvl w:val="0"/>
                <w:numId w:val="25"/>
              </w:numPr>
              <w:spacing w:after="200" w:line="360" w:lineRule="auto"/>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7E0AAE">
            <w:pPr>
              <w:pStyle w:val="ListParagraph"/>
              <w:numPr>
                <w:ilvl w:val="0"/>
                <w:numId w:val="25"/>
              </w:numPr>
              <w:spacing w:after="200" w:line="360" w:lineRule="auto"/>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7E0AAE">
            <w:pPr>
              <w:pStyle w:val="ListParagraph"/>
              <w:numPr>
                <w:ilvl w:val="0"/>
                <w:numId w:val="25"/>
              </w:numPr>
              <w:spacing w:after="200" w:line="360" w:lineRule="auto"/>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34BE0035" w14:textId="77777777" w:rsidR="006E5E06" w:rsidRPr="006E5E06" w:rsidRDefault="006E5E06" w:rsidP="00443DC8">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443DC8">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443DC8">
        <w:tc>
          <w:tcPr>
            <w:tcW w:w="13740" w:type="dxa"/>
          </w:tcPr>
          <w:p w14:paraId="6C4BC943" w14:textId="4AB92BF7" w:rsidR="00637D14" w:rsidRPr="00AC3774" w:rsidRDefault="00637D14" w:rsidP="006E4F88">
            <w:pPr>
              <w:tabs>
                <w:tab w:val="left" w:pos="720"/>
              </w:tabs>
              <w:jc w:val="both"/>
              <w:rPr>
                <w:rFonts w:ascii="Arial" w:hAnsi="Arial" w:cs="Arial"/>
                <w:sz w:val="20"/>
              </w:rPr>
            </w:pPr>
          </w:p>
        </w:tc>
        <w:tc>
          <w:tcPr>
            <w:tcW w:w="222" w:type="dxa"/>
          </w:tcPr>
          <w:p w14:paraId="3275055A" w14:textId="77777777" w:rsidR="00637D14" w:rsidRPr="00AC3774" w:rsidRDefault="00637D14" w:rsidP="00750B4A">
            <w:pPr>
              <w:tabs>
                <w:tab w:val="left" w:pos="720"/>
              </w:tabs>
              <w:jc w:val="both"/>
              <w:rPr>
                <w:rFonts w:ascii="Arial" w:hAnsi="Arial" w:cs="Arial"/>
                <w:sz w:val="20"/>
              </w:rPr>
            </w:pPr>
          </w:p>
        </w:tc>
        <w:tc>
          <w:tcPr>
            <w:tcW w:w="222" w:type="dxa"/>
          </w:tcPr>
          <w:p w14:paraId="4E5B2AD5"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443DC8">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134E6" w14:textId="77777777" w:rsidR="009C4E06" w:rsidRDefault="009C4E06" w:rsidP="00201A98">
      <w:r>
        <w:separator/>
      </w:r>
    </w:p>
  </w:endnote>
  <w:endnote w:type="continuationSeparator" w:id="0">
    <w:p w14:paraId="4098D2DA" w14:textId="77777777" w:rsidR="009C4E06" w:rsidRDefault="009C4E06"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0E9C9" w14:textId="77777777" w:rsidR="009C4E06" w:rsidRDefault="009C4E06" w:rsidP="00201A98">
      <w:r>
        <w:separator/>
      </w:r>
    </w:p>
  </w:footnote>
  <w:footnote w:type="continuationSeparator" w:id="0">
    <w:p w14:paraId="21560EA9" w14:textId="77777777" w:rsidR="009C4E06" w:rsidRDefault="009C4E06"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6586436"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60A4F7D"/>
    <w:multiLevelType w:val="hybridMultilevel"/>
    <w:tmpl w:val="80D61C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8"/>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2"/>
  </w:num>
  <w:num w:numId="28" w16cid:durableId="391970900">
    <w:abstractNumId w:val="26"/>
  </w:num>
  <w:num w:numId="29" w16cid:durableId="2142724945">
    <w:abstractNumId w:val="6"/>
  </w:num>
  <w:num w:numId="30" w16cid:durableId="1111973304">
    <w:abstractNumId w:val="32"/>
  </w:num>
  <w:num w:numId="31" w16cid:durableId="1998069011">
    <w:abstractNumId w:val="44"/>
  </w:num>
  <w:num w:numId="32" w16cid:durableId="1712143695">
    <w:abstractNumId w:val="40"/>
  </w:num>
  <w:num w:numId="33" w16cid:durableId="778767238">
    <w:abstractNumId w:val="33"/>
  </w:num>
  <w:num w:numId="34" w16cid:durableId="1249457635">
    <w:abstractNumId w:val="43"/>
  </w:num>
  <w:num w:numId="35" w16cid:durableId="1195466582">
    <w:abstractNumId w:val="20"/>
  </w:num>
  <w:num w:numId="36" w16cid:durableId="937130701">
    <w:abstractNumId w:val="41"/>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9"/>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7"/>
  </w:num>
  <w:num w:numId="46" w16cid:durableId="158645792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67DC9"/>
    <w:rsid w:val="00074C17"/>
    <w:rsid w:val="00077A57"/>
    <w:rsid w:val="00090F95"/>
    <w:rsid w:val="0009108C"/>
    <w:rsid w:val="00095837"/>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40917"/>
    <w:rsid w:val="001477A3"/>
    <w:rsid w:val="00151F81"/>
    <w:rsid w:val="001521AD"/>
    <w:rsid w:val="00154240"/>
    <w:rsid w:val="00155040"/>
    <w:rsid w:val="00155248"/>
    <w:rsid w:val="001645BF"/>
    <w:rsid w:val="00173BE4"/>
    <w:rsid w:val="00173F4F"/>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3CF5"/>
    <w:rsid w:val="001E4F28"/>
    <w:rsid w:val="001E64BB"/>
    <w:rsid w:val="00201A98"/>
    <w:rsid w:val="00203FB8"/>
    <w:rsid w:val="002319CA"/>
    <w:rsid w:val="002341C9"/>
    <w:rsid w:val="00253B8A"/>
    <w:rsid w:val="00256632"/>
    <w:rsid w:val="0026197D"/>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07B9"/>
    <w:rsid w:val="003317CA"/>
    <w:rsid w:val="00332369"/>
    <w:rsid w:val="003363BE"/>
    <w:rsid w:val="00336747"/>
    <w:rsid w:val="003462C3"/>
    <w:rsid w:val="00347894"/>
    <w:rsid w:val="00354047"/>
    <w:rsid w:val="003633CD"/>
    <w:rsid w:val="0037222D"/>
    <w:rsid w:val="00373CF8"/>
    <w:rsid w:val="0037426F"/>
    <w:rsid w:val="0037609B"/>
    <w:rsid w:val="003840F2"/>
    <w:rsid w:val="003914DE"/>
    <w:rsid w:val="0039219D"/>
    <w:rsid w:val="00394E95"/>
    <w:rsid w:val="003A2985"/>
    <w:rsid w:val="003B3ABD"/>
    <w:rsid w:val="003C07F4"/>
    <w:rsid w:val="003D48B8"/>
    <w:rsid w:val="003D66FA"/>
    <w:rsid w:val="003D78F9"/>
    <w:rsid w:val="003E052A"/>
    <w:rsid w:val="003E1135"/>
    <w:rsid w:val="003E4D3F"/>
    <w:rsid w:val="003F020F"/>
    <w:rsid w:val="003F2387"/>
    <w:rsid w:val="003F3E07"/>
    <w:rsid w:val="003F59CF"/>
    <w:rsid w:val="003F7B1E"/>
    <w:rsid w:val="00404772"/>
    <w:rsid w:val="004213A7"/>
    <w:rsid w:val="004251A4"/>
    <w:rsid w:val="00434DAC"/>
    <w:rsid w:val="004364AE"/>
    <w:rsid w:val="00443DC8"/>
    <w:rsid w:val="00457274"/>
    <w:rsid w:val="00460577"/>
    <w:rsid w:val="00470385"/>
    <w:rsid w:val="004705FF"/>
    <w:rsid w:val="00470A92"/>
    <w:rsid w:val="004857A1"/>
    <w:rsid w:val="004954EB"/>
    <w:rsid w:val="004A777B"/>
    <w:rsid w:val="004C3176"/>
    <w:rsid w:val="004C38A6"/>
    <w:rsid w:val="004D00A8"/>
    <w:rsid w:val="004D1602"/>
    <w:rsid w:val="004E19F4"/>
    <w:rsid w:val="004E6C33"/>
    <w:rsid w:val="004E77C0"/>
    <w:rsid w:val="004F07CB"/>
    <w:rsid w:val="004F117E"/>
    <w:rsid w:val="004F578D"/>
    <w:rsid w:val="0050013E"/>
    <w:rsid w:val="00504CE2"/>
    <w:rsid w:val="00506A41"/>
    <w:rsid w:val="005125A6"/>
    <w:rsid w:val="0051409A"/>
    <w:rsid w:val="00514EB4"/>
    <w:rsid w:val="00522B04"/>
    <w:rsid w:val="00534A84"/>
    <w:rsid w:val="005358BE"/>
    <w:rsid w:val="00546E27"/>
    <w:rsid w:val="00550760"/>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324A"/>
    <w:rsid w:val="00605594"/>
    <w:rsid w:val="006067AC"/>
    <w:rsid w:val="00607D65"/>
    <w:rsid w:val="0061034B"/>
    <w:rsid w:val="0061035C"/>
    <w:rsid w:val="0061360D"/>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61BE3"/>
    <w:rsid w:val="007644B6"/>
    <w:rsid w:val="00766FB1"/>
    <w:rsid w:val="00766FE5"/>
    <w:rsid w:val="00784A54"/>
    <w:rsid w:val="00785295"/>
    <w:rsid w:val="00791C9C"/>
    <w:rsid w:val="0079769C"/>
    <w:rsid w:val="007A6DC8"/>
    <w:rsid w:val="007A6F13"/>
    <w:rsid w:val="007B57E6"/>
    <w:rsid w:val="007B7CEE"/>
    <w:rsid w:val="007C0A56"/>
    <w:rsid w:val="007D4E0A"/>
    <w:rsid w:val="007D5975"/>
    <w:rsid w:val="007E0AAE"/>
    <w:rsid w:val="007E0CE5"/>
    <w:rsid w:val="007E7D29"/>
    <w:rsid w:val="007F15E3"/>
    <w:rsid w:val="007F2628"/>
    <w:rsid w:val="007F4C9F"/>
    <w:rsid w:val="00801DF0"/>
    <w:rsid w:val="008056C6"/>
    <w:rsid w:val="00810BAA"/>
    <w:rsid w:val="00821626"/>
    <w:rsid w:val="00825B67"/>
    <w:rsid w:val="008326AE"/>
    <w:rsid w:val="00844D86"/>
    <w:rsid w:val="0084573D"/>
    <w:rsid w:val="00845A4B"/>
    <w:rsid w:val="00846D12"/>
    <w:rsid w:val="0085043F"/>
    <w:rsid w:val="008525C7"/>
    <w:rsid w:val="00854874"/>
    <w:rsid w:val="00860294"/>
    <w:rsid w:val="00860C12"/>
    <w:rsid w:val="00861AE9"/>
    <w:rsid w:val="00861BE0"/>
    <w:rsid w:val="008723E9"/>
    <w:rsid w:val="00874A63"/>
    <w:rsid w:val="0088072F"/>
    <w:rsid w:val="00880865"/>
    <w:rsid w:val="0088295E"/>
    <w:rsid w:val="00886564"/>
    <w:rsid w:val="008910C0"/>
    <w:rsid w:val="00893563"/>
    <w:rsid w:val="0089392A"/>
    <w:rsid w:val="00894E42"/>
    <w:rsid w:val="008951A9"/>
    <w:rsid w:val="0089757B"/>
    <w:rsid w:val="008A3FC8"/>
    <w:rsid w:val="008A66CD"/>
    <w:rsid w:val="008B5871"/>
    <w:rsid w:val="008C01CF"/>
    <w:rsid w:val="008C0E9E"/>
    <w:rsid w:val="008C4A17"/>
    <w:rsid w:val="008F57DD"/>
    <w:rsid w:val="008F5BEC"/>
    <w:rsid w:val="009017B9"/>
    <w:rsid w:val="00903604"/>
    <w:rsid w:val="00914474"/>
    <w:rsid w:val="009214A0"/>
    <w:rsid w:val="00924E22"/>
    <w:rsid w:val="00931DE5"/>
    <w:rsid w:val="00944D59"/>
    <w:rsid w:val="0095525E"/>
    <w:rsid w:val="00965504"/>
    <w:rsid w:val="009677DD"/>
    <w:rsid w:val="00970379"/>
    <w:rsid w:val="00970A60"/>
    <w:rsid w:val="00977B70"/>
    <w:rsid w:val="009801BA"/>
    <w:rsid w:val="00990864"/>
    <w:rsid w:val="009A77EC"/>
    <w:rsid w:val="009B0C9A"/>
    <w:rsid w:val="009B6193"/>
    <w:rsid w:val="009C4E06"/>
    <w:rsid w:val="009F3555"/>
    <w:rsid w:val="00A05C1D"/>
    <w:rsid w:val="00A111DA"/>
    <w:rsid w:val="00A22EF4"/>
    <w:rsid w:val="00A256F9"/>
    <w:rsid w:val="00A31B50"/>
    <w:rsid w:val="00A346F0"/>
    <w:rsid w:val="00A36904"/>
    <w:rsid w:val="00A4460B"/>
    <w:rsid w:val="00A473FA"/>
    <w:rsid w:val="00A532EE"/>
    <w:rsid w:val="00A63317"/>
    <w:rsid w:val="00A651E0"/>
    <w:rsid w:val="00A6602E"/>
    <w:rsid w:val="00A67C16"/>
    <w:rsid w:val="00A72491"/>
    <w:rsid w:val="00A72A16"/>
    <w:rsid w:val="00A91CB3"/>
    <w:rsid w:val="00AA16F4"/>
    <w:rsid w:val="00AA403D"/>
    <w:rsid w:val="00AB4D3B"/>
    <w:rsid w:val="00AB64E3"/>
    <w:rsid w:val="00AB650A"/>
    <w:rsid w:val="00AC21FB"/>
    <w:rsid w:val="00AC3774"/>
    <w:rsid w:val="00AC5F89"/>
    <w:rsid w:val="00AD784B"/>
    <w:rsid w:val="00AE7139"/>
    <w:rsid w:val="00AF35DE"/>
    <w:rsid w:val="00AF6824"/>
    <w:rsid w:val="00B00E72"/>
    <w:rsid w:val="00B0566F"/>
    <w:rsid w:val="00B13715"/>
    <w:rsid w:val="00B16C39"/>
    <w:rsid w:val="00B263C0"/>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3EAF"/>
    <w:rsid w:val="00BF4523"/>
    <w:rsid w:val="00BF476B"/>
    <w:rsid w:val="00BF7560"/>
    <w:rsid w:val="00C12D3D"/>
    <w:rsid w:val="00C2594A"/>
    <w:rsid w:val="00C2623C"/>
    <w:rsid w:val="00C26313"/>
    <w:rsid w:val="00C369AF"/>
    <w:rsid w:val="00C40E58"/>
    <w:rsid w:val="00C413FB"/>
    <w:rsid w:val="00C43B7D"/>
    <w:rsid w:val="00C4471F"/>
    <w:rsid w:val="00C469F5"/>
    <w:rsid w:val="00C5004E"/>
    <w:rsid w:val="00C610B6"/>
    <w:rsid w:val="00C64D96"/>
    <w:rsid w:val="00C64FE1"/>
    <w:rsid w:val="00C67975"/>
    <w:rsid w:val="00C71201"/>
    <w:rsid w:val="00C71402"/>
    <w:rsid w:val="00C72E5D"/>
    <w:rsid w:val="00C75647"/>
    <w:rsid w:val="00C7656D"/>
    <w:rsid w:val="00C77EB9"/>
    <w:rsid w:val="00C8088F"/>
    <w:rsid w:val="00C80E04"/>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30F5"/>
    <w:rsid w:val="00CE5EEE"/>
    <w:rsid w:val="00CF781D"/>
    <w:rsid w:val="00D02E71"/>
    <w:rsid w:val="00D04B3C"/>
    <w:rsid w:val="00D1512B"/>
    <w:rsid w:val="00D21895"/>
    <w:rsid w:val="00D2565A"/>
    <w:rsid w:val="00D32E5C"/>
    <w:rsid w:val="00D3660F"/>
    <w:rsid w:val="00D415A5"/>
    <w:rsid w:val="00D41957"/>
    <w:rsid w:val="00D42FAE"/>
    <w:rsid w:val="00D45AEE"/>
    <w:rsid w:val="00D479A6"/>
    <w:rsid w:val="00D5588B"/>
    <w:rsid w:val="00D60523"/>
    <w:rsid w:val="00D71719"/>
    <w:rsid w:val="00D73F08"/>
    <w:rsid w:val="00D754CB"/>
    <w:rsid w:val="00D817F7"/>
    <w:rsid w:val="00D86CD2"/>
    <w:rsid w:val="00DA1B06"/>
    <w:rsid w:val="00DA3954"/>
    <w:rsid w:val="00DA4FDE"/>
    <w:rsid w:val="00DB22F3"/>
    <w:rsid w:val="00DB6A92"/>
    <w:rsid w:val="00DC3353"/>
    <w:rsid w:val="00DC6795"/>
    <w:rsid w:val="00DC798F"/>
    <w:rsid w:val="00DD5408"/>
    <w:rsid w:val="00DD7B12"/>
    <w:rsid w:val="00DE2368"/>
    <w:rsid w:val="00DE59CF"/>
    <w:rsid w:val="00DF400D"/>
    <w:rsid w:val="00DF46B0"/>
    <w:rsid w:val="00E112C5"/>
    <w:rsid w:val="00E2355B"/>
    <w:rsid w:val="00E238C2"/>
    <w:rsid w:val="00E26D9A"/>
    <w:rsid w:val="00E35EB0"/>
    <w:rsid w:val="00E3774F"/>
    <w:rsid w:val="00E500CF"/>
    <w:rsid w:val="00E534E2"/>
    <w:rsid w:val="00E701E5"/>
    <w:rsid w:val="00E71288"/>
    <w:rsid w:val="00E71A93"/>
    <w:rsid w:val="00E74D52"/>
    <w:rsid w:val="00E831F2"/>
    <w:rsid w:val="00E90B24"/>
    <w:rsid w:val="00EA01A7"/>
    <w:rsid w:val="00EA1B3D"/>
    <w:rsid w:val="00EA320B"/>
    <w:rsid w:val="00EA4206"/>
    <w:rsid w:val="00EA765D"/>
    <w:rsid w:val="00EB03A4"/>
    <w:rsid w:val="00EB20DA"/>
    <w:rsid w:val="00EB6A30"/>
    <w:rsid w:val="00EC15B1"/>
    <w:rsid w:val="00EC662F"/>
    <w:rsid w:val="00ED3E4E"/>
    <w:rsid w:val="00EF0233"/>
    <w:rsid w:val="00EF279E"/>
    <w:rsid w:val="00EF2F58"/>
    <w:rsid w:val="00EF4E0F"/>
    <w:rsid w:val="00EF5055"/>
    <w:rsid w:val="00EF67B3"/>
    <w:rsid w:val="00EF6D03"/>
    <w:rsid w:val="00EF748F"/>
    <w:rsid w:val="00EF780B"/>
    <w:rsid w:val="00F04C7B"/>
    <w:rsid w:val="00F0521B"/>
    <w:rsid w:val="00F0774B"/>
    <w:rsid w:val="00F12F4B"/>
    <w:rsid w:val="00F16AC6"/>
    <w:rsid w:val="00F22D6B"/>
    <w:rsid w:val="00F300A7"/>
    <w:rsid w:val="00F316E0"/>
    <w:rsid w:val="00F3247D"/>
    <w:rsid w:val="00F334DA"/>
    <w:rsid w:val="00F337F6"/>
    <w:rsid w:val="00F43E37"/>
    <w:rsid w:val="00F45833"/>
    <w:rsid w:val="00F45C3E"/>
    <w:rsid w:val="00F53FC5"/>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C143A"/>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EA01A7"/>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1830</Words>
  <Characters>10436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Mbulelo Mncengani</cp:lastModifiedBy>
  <cp:revision>2</cp:revision>
  <cp:lastPrinted>2023-01-25T15:41:00Z</cp:lastPrinted>
  <dcterms:created xsi:type="dcterms:W3CDTF">2025-08-13T08:34:00Z</dcterms:created>
  <dcterms:modified xsi:type="dcterms:W3CDTF">2025-08-13T08:34:00Z</dcterms:modified>
</cp:coreProperties>
</file>